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28A9684" w:rsidR="000A03B2" w:rsidRPr="00B57B36" w:rsidRDefault="002936D0"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Pr>
                <w:rFonts w:cs="Arial"/>
                <w:b/>
                <w:bCs/>
                <w:i/>
                <w:iCs/>
                <w:color w:val="000066"/>
                <w:sz w:val="22"/>
                <w:szCs w:val="22"/>
                <w:lang w:eastAsia="it-IT"/>
              </w:rPr>
              <w:t xml:space="preserve"> xxx, 2026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2D6F86D0" w14:textId="77777777" w:rsidR="00835E69" w:rsidRPr="007A6DF8" w:rsidRDefault="00835E69" w:rsidP="00835E69">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Pr="007A6DF8">
              <w:rPr>
                <w:rFonts w:ascii="Tahoma" w:hAnsi="Tahoma" w:cs="Tahoma"/>
                <w:color w:val="000000"/>
                <w:sz w:val="14"/>
                <w:szCs w:val="14"/>
                <w:shd w:val="clear" w:color="auto" w:fill="FFFFFF"/>
                <w:lang w:val="it-IT"/>
              </w:rPr>
              <w:t xml:space="preserve">Valerio Cozzani, Bruno Fabiano, </w:t>
            </w:r>
            <w:proofErr w:type="spellStart"/>
            <w:r w:rsidRPr="007A6DF8">
              <w:rPr>
                <w:rFonts w:ascii="Tahoma" w:hAnsi="Tahoma" w:cs="Tahoma"/>
                <w:color w:val="000000"/>
                <w:sz w:val="14"/>
                <w:szCs w:val="14"/>
                <w:shd w:val="clear" w:color="auto" w:fill="FFFFFF"/>
                <w:lang w:val="it-IT"/>
              </w:rPr>
              <w:t>Genserik</w:t>
            </w:r>
            <w:proofErr w:type="spellEnd"/>
            <w:r w:rsidRPr="007A6DF8">
              <w:rPr>
                <w:rFonts w:ascii="Tahoma" w:hAnsi="Tahoma" w:cs="Tahoma"/>
                <w:color w:val="000000"/>
                <w:sz w:val="14"/>
                <w:szCs w:val="14"/>
                <w:shd w:val="clear" w:color="auto" w:fill="FFFFFF"/>
                <w:lang w:val="it-IT"/>
              </w:rPr>
              <w:t xml:space="preserve"> Reniers</w:t>
            </w:r>
          </w:p>
          <w:p w14:paraId="1B0F1814" w14:textId="2A93961B" w:rsidR="000A03B2" w:rsidRPr="00B57B36" w:rsidRDefault="00835E69" w:rsidP="00835E69">
            <w:pPr>
              <w:tabs>
                <w:tab w:val="left" w:pos="-108"/>
              </w:tabs>
              <w:spacing w:line="140" w:lineRule="atLeast"/>
              <w:ind w:left="-107"/>
              <w:jc w:val="left"/>
            </w:pPr>
            <w:r>
              <w:rPr>
                <w:rFonts w:ascii="Tahoma" w:hAnsi="Tahoma" w:cs="Tahoma"/>
                <w:iCs/>
                <w:color w:val="333333"/>
                <w:sz w:val="14"/>
                <w:szCs w:val="14"/>
                <w:lang w:eastAsia="it-IT"/>
              </w:rPr>
              <w:t>Copyright © 2026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81206-xx-x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1BC8091" w:rsidR="00E978D0" w:rsidRPr="00B57B36" w:rsidRDefault="00C0263A" w:rsidP="00E978D0">
      <w:pPr>
        <w:pStyle w:val="CETTitle"/>
      </w:pPr>
      <w:r w:rsidRPr="00C0263A">
        <w:t xml:space="preserve">Casual or </w:t>
      </w:r>
      <w:r w:rsidR="00E17E65" w:rsidRPr="00C0263A">
        <w:t>Causal</w:t>
      </w:r>
      <w:r w:rsidRPr="00C0263A">
        <w:t xml:space="preserve">? The Lightning-Triggered </w:t>
      </w:r>
      <w:bookmarkStart w:id="0" w:name="_Hlk221186597"/>
      <w:proofErr w:type="spellStart"/>
      <w:r w:rsidRPr="00C0263A">
        <w:t>NaTech</w:t>
      </w:r>
      <w:proofErr w:type="spellEnd"/>
      <w:r w:rsidRPr="00C0263A">
        <w:t xml:space="preserve"> Accident at the </w:t>
      </w:r>
      <w:proofErr w:type="spellStart"/>
      <w:r w:rsidRPr="00C0263A">
        <w:t>Supertanker</w:t>
      </w:r>
      <w:proofErr w:type="spellEnd"/>
      <w:r w:rsidRPr="00C0263A">
        <w:t xml:space="preserve"> Base of Matanzas</w:t>
      </w:r>
      <w:bookmarkEnd w:id="0"/>
      <w:r w:rsidRPr="00C0263A">
        <w:t>, Cuba</w:t>
      </w:r>
    </w:p>
    <w:p w14:paraId="0E196025" w14:textId="2ECAA4F8" w:rsidR="007D5451" w:rsidRPr="00A25BBB" w:rsidRDefault="007D5451" w:rsidP="007D5451">
      <w:pPr>
        <w:pStyle w:val="CETAuthors"/>
        <w:rPr>
          <w:vertAlign w:val="superscript"/>
          <w:lang w:val="it-IT"/>
        </w:rPr>
      </w:pPr>
      <w:r w:rsidRPr="00A25BBB">
        <w:rPr>
          <w:lang w:val="it-IT"/>
        </w:rPr>
        <w:t>David J</w:t>
      </w:r>
      <w:r w:rsidR="00F17C88">
        <w:rPr>
          <w:lang w:val="it-IT"/>
        </w:rPr>
        <w:t>.</w:t>
      </w:r>
      <w:r w:rsidRPr="00A25BBB">
        <w:rPr>
          <w:lang w:val="it-IT"/>
        </w:rPr>
        <w:t xml:space="preserve"> Castro Rodriguez</w:t>
      </w:r>
      <w:r w:rsidRPr="00A25BBB">
        <w:rPr>
          <w:vertAlign w:val="superscript"/>
          <w:lang w:val="it-IT"/>
        </w:rPr>
        <w:t>a</w:t>
      </w:r>
      <w:r w:rsidRPr="00A25BBB">
        <w:rPr>
          <w:lang w:val="it-IT"/>
        </w:rPr>
        <w:t>*, Julio A</w:t>
      </w:r>
      <w:r w:rsidR="00F17C88">
        <w:rPr>
          <w:lang w:val="it-IT"/>
        </w:rPr>
        <w:t>.</w:t>
      </w:r>
      <w:r w:rsidRPr="00A25BBB">
        <w:rPr>
          <w:lang w:val="it-IT"/>
        </w:rPr>
        <w:t xml:space="preserve"> Dueñas Santana</w:t>
      </w:r>
      <w:r w:rsidRPr="00A25BBB">
        <w:rPr>
          <w:vertAlign w:val="superscript"/>
          <w:lang w:val="it-IT"/>
        </w:rPr>
        <w:t>b</w:t>
      </w:r>
      <w:r w:rsidRPr="00A25BBB">
        <w:rPr>
          <w:lang w:val="it-IT"/>
        </w:rPr>
        <w:t>, Antonello A. Barresi</w:t>
      </w:r>
      <w:r w:rsidRPr="00A25BBB">
        <w:rPr>
          <w:vertAlign w:val="superscript"/>
          <w:lang w:val="it-IT"/>
        </w:rPr>
        <w:t>a</w:t>
      </w:r>
      <w:r w:rsidRPr="00A25BBB">
        <w:rPr>
          <w:lang w:val="it-IT"/>
        </w:rPr>
        <w:t>, Micaela Demichela</w:t>
      </w:r>
      <w:r w:rsidRPr="00A25BBB">
        <w:rPr>
          <w:vertAlign w:val="superscript"/>
          <w:lang w:val="it-IT"/>
        </w:rPr>
        <w:t>a</w:t>
      </w:r>
    </w:p>
    <w:p w14:paraId="7E8A1938" w14:textId="77777777" w:rsidR="007D5451" w:rsidRPr="00E54BD7" w:rsidRDefault="007D5451" w:rsidP="007D5451">
      <w:pPr>
        <w:pStyle w:val="CETAddress"/>
        <w:rPr>
          <w:lang w:val="it-IT"/>
        </w:rPr>
      </w:pPr>
      <w:r w:rsidRPr="00E54BD7">
        <w:rPr>
          <w:vertAlign w:val="superscript"/>
          <w:lang w:val="it-IT"/>
        </w:rPr>
        <w:t>a</w:t>
      </w:r>
      <w:r w:rsidRPr="00E54BD7">
        <w:rPr>
          <w:lang w:val="it-IT"/>
        </w:rPr>
        <w:t>Department of Applied Science and Technology, Politecnico di Torino, Corso Duca degli Abruzzi 24, 10129 Torino, Italy</w:t>
      </w:r>
    </w:p>
    <w:p w14:paraId="12F678E0" w14:textId="0E003CCD" w:rsidR="007D5451" w:rsidRDefault="007D5451" w:rsidP="007D5451">
      <w:pPr>
        <w:pStyle w:val="CETAddress"/>
        <w:rPr>
          <w:lang w:val="en-US"/>
        </w:rPr>
      </w:pPr>
      <w:r w:rsidRPr="008D1881">
        <w:rPr>
          <w:vertAlign w:val="superscript"/>
          <w:lang w:val="en-US"/>
        </w:rPr>
        <w:t>b</w:t>
      </w:r>
      <w:r w:rsidRPr="008D1881">
        <w:rPr>
          <w:lang w:val="en-US"/>
        </w:rPr>
        <w:t xml:space="preserve"> VSB – Technical University of Ostrava, Faculty of Safety Engineering, Centre of Excellence for Safety Research,  17. listopadu 2172/15, 708 00 Ostrava, Czech Republic</w:t>
      </w:r>
      <w:r w:rsidR="00050C19">
        <w:rPr>
          <w:lang w:val="en-US"/>
        </w:rPr>
        <w:t>.</w:t>
      </w:r>
    </w:p>
    <w:p w14:paraId="1487E2D9" w14:textId="0C982681" w:rsidR="007D5451" w:rsidRDefault="006F167A" w:rsidP="007D5451">
      <w:pPr>
        <w:pStyle w:val="CETAddress"/>
      </w:pPr>
      <w:hyperlink r:id="rId10" w:history="1">
        <w:r w:rsidRPr="006050E4">
          <w:rPr>
            <w:rStyle w:val="Hyperlink"/>
          </w:rPr>
          <w:t>david.castro@polito.it</w:t>
        </w:r>
      </w:hyperlink>
    </w:p>
    <w:p w14:paraId="56842253" w14:textId="77777777" w:rsidR="00F11660" w:rsidRDefault="00F11660" w:rsidP="004E3E2B">
      <w:pPr>
        <w:pStyle w:val="CETBodytext"/>
        <w:rPr>
          <w:lang w:val="en-GB"/>
        </w:rPr>
      </w:pPr>
    </w:p>
    <w:p w14:paraId="20537A82" w14:textId="377299D5" w:rsidR="004E3E2B" w:rsidRPr="004E3E2B" w:rsidRDefault="004E3E2B" w:rsidP="004E3E2B">
      <w:pPr>
        <w:pStyle w:val="CETBodytext"/>
        <w:rPr>
          <w:lang w:val="en-GB"/>
        </w:rPr>
      </w:pPr>
      <w:r w:rsidRPr="004E3E2B">
        <w:rPr>
          <w:lang w:val="en-GB"/>
        </w:rPr>
        <w:t>Lightning strikes are a significant natural hazard for process plants, particularly in storage and handling facilities</w:t>
      </w:r>
      <w:r w:rsidR="00A25BBB">
        <w:rPr>
          <w:lang w:val="en-GB"/>
        </w:rPr>
        <w:t>,</w:t>
      </w:r>
      <w:r w:rsidRPr="004E3E2B">
        <w:rPr>
          <w:lang w:val="en-GB"/>
        </w:rPr>
        <w:t xml:space="preserve"> where they often </w:t>
      </w:r>
      <w:r w:rsidR="00065FE6">
        <w:rPr>
          <w:lang w:val="en-GB"/>
        </w:rPr>
        <w:t>lead to</w:t>
      </w:r>
      <w:r w:rsidRPr="004E3E2B">
        <w:rPr>
          <w:lang w:val="en-GB"/>
        </w:rPr>
        <w:t xml:space="preserve"> large-scale loss of containment </w:t>
      </w:r>
      <w:r w:rsidR="0063562B">
        <w:rPr>
          <w:lang w:val="en-GB"/>
        </w:rPr>
        <w:t>of dangerous substances</w:t>
      </w:r>
      <w:r w:rsidRPr="004E3E2B">
        <w:rPr>
          <w:lang w:val="en-GB"/>
        </w:rPr>
        <w:t xml:space="preserve">. </w:t>
      </w:r>
      <w:r w:rsidR="003E74D1" w:rsidRPr="003E74D1">
        <w:rPr>
          <w:lang w:val="en-GB"/>
        </w:rPr>
        <w:t xml:space="preserve">Because lightning is itself an ignition source, the probability that flammable materials released </w:t>
      </w:r>
      <w:r w:rsidR="00C74703">
        <w:rPr>
          <w:lang w:val="en-GB"/>
        </w:rPr>
        <w:t>after</w:t>
      </w:r>
      <w:r w:rsidR="003E74D1" w:rsidRPr="003E74D1">
        <w:rPr>
          <w:lang w:val="en-GB"/>
        </w:rPr>
        <w:t xml:space="preserve"> a lightning strike will ignite is much higher than in conventional loss-of-containment scenarios. This often leads to major fires that can trigger cascading effects on nearby units.</w:t>
      </w:r>
      <w:r w:rsidRPr="004E3E2B">
        <w:rPr>
          <w:lang w:val="en-GB"/>
        </w:rPr>
        <w:t xml:space="preserve"> </w:t>
      </w:r>
      <w:r w:rsidR="00C0479C">
        <w:rPr>
          <w:lang w:val="en-GB"/>
        </w:rPr>
        <w:t>Therefore, h</w:t>
      </w:r>
      <w:r w:rsidR="00A50DE4" w:rsidRPr="00A50DE4">
        <w:rPr>
          <w:lang w:val="en-GB"/>
        </w:rPr>
        <w:t xml:space="preserve">igh-capacity storage tanks located in tank farms or industrial clusters constitute highly vulnerable assets, since lightning strikes may lead to severe consequences for this critical equipment, with potentially serious impacts on the </w:t>
      </w:r>
      <w:r w:rsidR="00DC5B9A">
        <w:rPr>
          <w:lang w:val="en-GB"/>
        </w:rPr>
        <w:t xml:space="preserve">infrastructure, the </w:t>
      </w:r>
      <w:r w:rsidR="00A50DE4" w:rsidRPr="00A50DE4">
        <w:rPr>
          <w:lang w:val="en-GB"/>
        </w:rPr>
        <w:t>environment</w:t>
      </w:r>
      <w:r w:rsidR="00DC5B9A">
        <w:rPr>
          <w:lang w:val="en-GB"/>
        </w:rPr>
        <w:t>,</w:t>
      </w:r>
      <w:r w:rsidR="00A50DE4" w:rsidRPr="00A50DE4">
        <w:rPr>
          <w:lang w:val="en-GB"/>
        </w:rPr>
        <w:t xml:space="preserve"> and nearby communities</w:t>
      </w:r>
      <w:r w:rsidRPr="004E3E2B">
        <w:rPr>
          <w:lang w:val="en-GB"/>
        </w:rPr>
        <w:t xml:space="preserve">. This paper </w:t>
      </w:r>
      <w:r w:rsidR="007D490A">
        <w:rPr>
          <w:lang w:val="en-GB"/>
        </w:rPr>
        <w:t>critically reflects</w:t>
      </w:r>
      <w:r w:rsidR="000A6E45">
        <w:rPr>
          <w:lang w:val="en-GB"/>
        </w:rPr>
        <w:t xml:space="preserve"> on </w:t>
      </w:r>
      <w:r w:rsidRPr="004E3E2B">
        <w:rPr>
          <w:lang w:val="en-GB"/>
        </w:rPr>
        <w:t xml:space="preserve">the </w:t>
      </w:r>
      <w:proofErr w:type="spellStart"/>
      <w:r w:rsidR="005127F9">
        <w:rPr>
          <w:lang w:val="en-GB"/>
        </w:rPr>
        <w:t>NaTech</w:t>
      </w:r>
      <w:proofErr w:type="spellEnd"/>
      <w:r w:rsidR="005127F9">
        <w:rPr>
          <w:lang w:val="en-GB"/>
        </w:rPr>
        <w:t xml:space="preserve"> </w:t>
      </w:r>
      <w:r w:rsidR="007D35AE">
        <w:rPr>
          <w:lang w:val="en-GB"/>
        </w:rPr>
        <w:t>accident</w:t>
      </w:r>
      <w:r w:rsidRPr="004E3E2B">
        <w:rPr>
          <w:lang w:val="en-GB"/>
        </w:rPr>
        <w:t xml:space="preserve"> </w:t>
      </w:r>
      <w:r w:rsidR="005838F3">
        <w:rPr>
          <w:lang w:val="en-GB"/>
        </w:rPr>
        <w:t>at</w:t>
      </w:r>
      <w:r w:rsidRPr="004E3E2B">
        <w:rPr>
          <w:lang w:val="en-GB"/>
        </w:rPr>
        <w:t xml:space="preserve"> the </w:t>
      </w:r>
      <w:proofErr w:type="spellStart"/>
      <w:r w:rsidRPr="004E3E2B">
        <w:rPr>
          <w:lang w:val="en-GB"/>
        </w:rPr>
        <w:t>Supertanker</w:t>
      </w:r>
      <w:proofErr w:type="spellEnd"/>
      <w:r w:rsidRPr="004E3E2B">
        <w:rPr>
          <w:lang w:val="en-GB"/>
        </w:rPr>
        <w:t xml:space="preserve"> Base of Matanzas, </w:t>
      </w:r>
      <w:r w:rsidR="005E46E3">
        <w:rPr>
          <w:lang w:val="en-GB"/>
        </w:rPr>
        <w:t>where a</w:t>
      </w:r>
      <w:r w:rsidR="001B3E64">
        <w:rPr>
          <w:lang w:val="en-GB"/>
        </w:rPr>
        <w:t xml:space="preserve"> catastrophic </w:t>
      </w:r>
      <w:r w:rsidR="002249F3">
        <w:rPr>
          <w:lang w:val="en-GB"/>
        </w:rPr>
        <w:t xml:space="preserve">fire </w:t>
      </w:r>
      <w:r w:rsidR="00926211" w:rsidRPr="00926211">
        <w:rPr>
          <w:lang w:val="en-GB"/>
        </w:rPr>
        <w:t>broke out</w:t>
      </w:r>
      <w:r w:rsidR="00926211">
        <w:rPr>
          <w:lang w:val="en-GB"/>
        </w:rPr>
        <w:t xml:space="preserve"> </w:t>
      </w:r>
      <w:r w:rsidR="004B42AF">
        <w:rPr>
          <w:lang w:val="en-GB"/>
        </w:rPr>
        <w:t xml:space="preserve">in </w:t>
      </w:r>
      <w:r w:rsidR="00926211">
        <w:rPr>
          <w:lang w:val="en-GB"/>
        </w:rPr>
        <w:t xml:space="preserve">four of the eight </w:t>
      </w:r>
      <w:r w:rsidR="00247897">
        <w:rPr>
          <w:lang w:val="en-GB"/>
        </w:rPr>
        <w:t xml:space="preserve">tanks </w:t>
      </w:r>
      <w:r w:rsidR="00247897" w:rsidRPr="00247897">
        <w:rPr>
          <w:lang w:val="en-GB"/>
        </w:rPr>
        <w:t xml:space="preserve">of the largest crude oil storage </w:t>
      </w:r>
      <w:r w:rsidR="00B57BC6">
        <w:rPr>
          <w:lang w:val="en-GB"/>
        </w:rPr>
        <w:t>farm</w:t>
      </w:r>
      <w:r w:rsidR="00247897" w:rsidRPr="00247897">
        <w:rPr>
          <w:lang w:val="en-GB"/>
        </w:rPr>
        <w:t xml:space="preserve"> in Cuba</w:t>
      </w:r>
      <w:r w:rsidR="00247897">
        <w:rPr>
          <w:lang w:val="en-GB"/>
        </w:rPr>
        <w:t xml:space="preserve">. </w:t>
      </w:r>
      <w:r w:rsidR="008E7D0C" w:rsidRPr="008E7D0C">
        <w:rPr>
          <w:lang w:val="en-GB"/>
        </w:rPr>
        <w:t xml:space="preserve">A structured causal analysis of the accident dynamics was conducted, </w:t>
      </w:r>
      <w:r w:rsidR="002D53B5">
        <w:rPr>
          <w:lang w:val="en-GB"/>
        </w:rPr>
        <w:t xml:space="preserve">stressing </w:t>
      </w:r>
      <w:r w:rsidR="008E7D0C" w:rsidRPr="008E7D0C">
        <w:rPr>
          <w:lang w:val="en-GB"/>
        </w:rPr>
        <w:t xml:space="preserve">both technological and </w:t>
      </w:r>
      <w:r w:rsidR="0012317B">
        <w:rPr>
          <w:lang w:val="en-GB"/>
        </w:rPr>
        <w:t>systemic</w:t>
      </w:r>
      <w:r w:rsidR="008E7D0C" w:rsidRPr="008E7D0C">
        <w:rPr>
          <w:lang w:val="en-GB"/>
        </w:rPr>
        <w:t xml:space="preserve"> </w:t>
      </w:r>
      <w:r w:rsidR="00DA2240">
        <w:rPr>
          <w:lang w:val="en-GB"/>
        </w:rPr>
        <w:t>factors,</w:t>
      </w:r>
      <w:r w:rsidR="008E7D0C" w:rsidRPr="008E7D0C">
        <w:rPr>
          <w:lang w:val="en-GB"/>
        </w:rPr>
        <w:t xml:space="preserve"> drawing on recent insights from the emerging literature on </w:t>
      </w:r>
      <w:proofErr w:type="spellStart"/>
      <w:r w:rsidR="008E7D0C" w:rsidRPr="008E7D0C">
        <w:rPr>
          <w:lang w:val="en-GB"/>
        </w:rPr>
        <w:t>NaTech</w:t>
      </w:r>
      <w:proofErr w:type="spellEnd"/>
      <w:r w:rsidR="008E7D0C" w:rsidRPr="008E7D0C">
        <w:rPr>
          <w:lang w:val="en-GB"/>
        </w:rPr>
        <w:t xml:space="preserve"> events in the process industry. The methodological approach adopted, together with the lessons learned from this catastrophic event, contributes to a deeper understanding of the complex dynamics of lightning-triggered </w:t>
      </w:r>
      <w:proofErr w:type="spellStart"/>
      <w:r w:rsidR="008E7D0C" w:rsidRPr="008E7D0C">
        <w:rPr>
          <w:lang w:val="en-GB"/>
        </w:rPr>
        <w:t>NaTech</w:t>
      </w:r>
      <w:proofErr w:type="spellEnd"/>
      <w:r w:rsidR="008E7D0C" w:rsidRPr="008E7D0C">
        <w:rPr>
          <w:lang w:val="en-GB"/>
        </w:rPr>
        <w:t xml:space="preserve"> scenarios, supporting risk-reduction decision-making and strengthening resilience in similar contexts</w:t>
      </w:r>
      <w:r w:rsidRPr="004E3E2B">
        <w:rPr>
          <w:lang w:val="en-GB"/>
        </w:rPr>
        <w:t>.</w:t>
      </w:r>
    </w:p>
    <w:p w14:paraId="69E75A4E" w14:textId="70FA7227" w:rsidR="00431D67" w:rsidRDefault="004E3E2B" w:rsidP="00CD4D6C">
      <w:pPr>
        <w:pStyle w:val="CETBodytext"/>
      </w:pPr>
      <w:r w:rsidRPr="005806BE">
        <w:rPr>
          <w:b/>
          <w:bCs/>
          <w:i/>
          <w:iCs/>
          <w:lang w:val="en-GB"/>
        </w:rPr>
        <w:t>Keywords</w:t>
      </w:r>
      <w:r w:rsidRPr="004E3E2B">
        <w:rPr>
          <w:lang w:val="en-GB"/>
        </w:rPr>
        <w:t>:</w:t>
      </w:r>
      <w:r w:rsidR="00185875">
        <w:rPr>
          <w:lang w:val="en-GB"/>
        </w:rPr>
        <w:t xml:space="preserve"> </w:t>
      </w:r>
      <w:r w:rsidR="00C1763B">
        <w:rPr>
          <w:lang w:val="en-GB"/>
        </w:rPr>
        <w:t xml:space="preserve">major </w:t>
      </w:r>
      <w:r w:rsidR="00185875">
        <w:rPr>
          <w:lang w:val="en-GB"/>
        </w:rPr>
        <w:t xml:space="preserve">fire, </w:t>
      </w:r>
      <w:r w:rsidRPr="004E3E2B">
        <w:rPr>
          <w:lang w:val="en-GB"/>
        </w:rPr>
        <w:t xml:space="preserve">lightning strike, </w:t>
      </w:r>
      <w:proofErr w:type="spellStart"/>
      <w:r w:rsidRPr="004E3E2B">
        <w:rPr>
          <w:lang w:val="en-GB"/>
        </w:rPr>
        <w:t>NaTech</w:t>
      </w:r>
      <w:proofErr w:type="spellEnd"/>
      <w:r w:rsidRPr="004E3E2B">
        <w:rPr>
          <w:lang w:val="en-GB"/>
        </w:rPr>
        <w:t xml:space="preserve">, </w:t>
      </w:r>
      <w:r w:rsidR="005F554A">
        <w:rPr>
          <w:lang w:val="en-GB"/>
        </w:rPr>
        <w:t>storage</w:t>
      </w:r>
      <w:r w:rsidRPr="004E3E2B">
        <w:rPr>
          <w:lang w:val="en-GB"/>
        </w:rPr>
        <w:t xml:space="preserve"> </w:t>
      </w:r>
      <w:r w:rsidR="00CB6369">
        <w:rPr>
          <w:lang w:val="en-GB"/>
        </w:rPr>
        <w:t>tank</w:t>
      </w:r>
      <w:r w:rsidR="00C1763B">
        <w:rPr>
          <w:lang w:val="en-GB"/>
        </w:rPr>
        <w:t>, technological scenarios</w:t>
      </w:r>
      <w:r w:rsidRPr="004E3E2B">
        <w:rPr>
          <w:lang w:val="en-GB"/>
        </w:rPr>
        <w:t>.</w:t>
      </w:r>
    </w:p>
    <w:p w14:paraId="476B2F2E" w14:textId="77777777" w:rsidR="00600535" w:rsidRPr="00B57B36" w:rsidRDefault="00600535" w:rsidP="00600535">
      <w:pPr>
        <w:pStyle w:val="CETHeading1"/>
        <w:rPr>
          <w:lang w:val="en-GB"/>
        </w:rPr>
      </w:pPr>
      <w:r w:rsidRPr="00B57B36">
        <w:rPr>
          <w:lang w:val="en-GB"/>
        </w:rPr>
        <w:t>Introduction</w:t>
      </w:r>
    </w:p>
    <w:p w14:paraId="7D783C64" w14:textId="57051172" w:rsidR="00A24E34" w:rsidRDefault="00B33143" w:rsidP="00600535">
      <w:pPr>
        <w:pStyle w:val="CETBodytext"/>
        <w:rPr>
          <w:lang w:val="en-GB"/>
        </w:rPr>
      </w:pPr>
      <w:proofErr w:type="spellStart"/>
      <w:r w:rsidRPr="00B33143">
        <w:rPr>
          <w:lang w:val="en-GB"/>
        </w:rPr>
        <w:t>NaTech</w:t>
      </w:r>
      <w:proofErr w:type="spellEnd"/>
      <w:r w:rsidRPr="00B33143">
        <w:rPr>
          <w:lang w:val="en-GB"/>
        </w:rPr>
        <w:t xml:space="preserve"> events can be regarded as a </w:t>
      </w:r>
      <w:r w:rsidR="00374821" w:rsidRPr="00B33143">
        <w:rPr>
          <w:lang w:val="en-GB"/>
        </w:rPr>
        <w:t>specific multi-r</w:t>
      </w:r>
      <w:r w:rsidR="00374821">
        <w:rPr>
          <w:lang w:val="en-GB"/>
        </w:rPr>
        <w:t xml:space="preserve">isk </w:t>
      </w:r>
      <w:r w:rsidR="00DA2240">
        <w:rPr>
          <w:lang w:val="en-GB"/>
        </w:rPr>
        <w:t>phenomenon in</w:t>
      </w:r>
      <w:r w:rsidRPr="00B33143">
        <w:rPr>
          <w:lang w:val="en-GB"/>
        </w:rPr>
        <w:t xml:space="preserve"> which </w:t>
      </w:r>
      <w:r w:rsidR="00B676F2">
        <w:rPr>
          <w:lang w:val="en-GB"/>
        </w:rPr>
        <w:t xml:space="preserve">at least </w:t>
      </w:r>
      <w:r w:rsidRPr="00B33143">
        <w:rPr>
          <w:lang w:val="en-GB"/>
        </w:rPr>
        <w:t xml:space="preserve">an external natural hazard triggers a technological scenario involving the </w:t>
      </w:r>
      <w:r w:rsidR="000570C2">
        <w:rPr>
          <w:lang w:val="en-GB"/>
        </w:rPr>
        <w:t>release</w:t>
      </w:r>
      <w:r w:rsidRPr="00B33143">
        <w:rPr>
          <w:lang w:val="en-GB"/>
        </w:rPr>
        <w:t xml:space="preserve"> of </w:t>
      </w:r>
      <w:r w:rsidR="009E30F8" w:rsidRPr="00B33143">
        <w:rPr>
          <w:lang w:val="en-GB"/>
        </w:rPr>
        <w:t xml:space="preserve">dangerous </w:t>
      </w:r>
      <w:r w:rsidRPr="00B33143">
        <w:rPr>
          <w:lang w:val="en-GB"/>
        </w:rPr>
        <w:t xml:space="preserve">substances </w:t>
      </w:r>
      <w:r w:rsidR="009A2D5E" w:rsidRPr="009A2D5E">
        <w:rPr>
          <w:lang w:val="en-GB"/>
        </w:rPr>
        <w:t>result</w:t>
      </w:r>
      <w:r w:rsidR="009A2D5E">
        <w:rPr>
          <w:lang w:val="en-GB"/>
        </w:rPr>
        <w:t xml:space="preserve">ing </w:t>
      </w:r>
      <w:r w:rsidR="009A2D5E" w:rsidRPr="009A2D5E">
        <w:rPr>
          <w:lang w:val="en-GB"/>
        </w:rPr>
        <w:t xml:space="preserve">in large-scale disasters with severe consequences for human safety, the environment, and surrounding infrastructure </w:t>
      </w:r>
      <w:r w:rsidRPr="00830AC9">
        <w:rPr>
          <w:lang w:val="en-GB"/>
        </w:rPr>
        <w:t>(Castro Rodriguez et al., 2025</w:t>
      </w:r>
      <w:r w:rsidR="00CE77D7">
        <w:rPr>
          <w:lang w:val="en-GB"/>
        </w:rPr>
        <w:t>a</w:t>
      </w:r>
      <w:r w:rsidRPr="00830AC9">
        <w:rPr>
          <w:lang w:val="en-GB"/>
        </w:rPr>
        <w:t>).</w:t>
      </w:r>
      <w:r w:rsidRPr="00B33143">
        <w:rPr>
          <w:lang w:val="en-GB"/>
        </w:rPr>
        <w:t xml:space="preserve"> They may occur wherever industrial facilities </w:t>
      </w:r>
      <w:r w:rsidR="003A5D39">
        <w:rPr>
          <w:lang w:val="en-GB"/>
        </w:rPr>
        <w:t xml:space="preserve">storing or </w:t>
      </w:r>
      <w:r w:rsidR="009E30F8">
        <w:rPr>
          <w:lang w:val="en-GB"/>
        </w:rPr>
        <w:t>handling hazardous</w:t>
      </w:r>
      <w:r w:rsidRPr="00B33143">
        <w:rPr>
          <w:lang w:val="en-GB"/>
        </w:rPr>
        <w:t xml:space="preserve"> materials are in areas exposed to natural </w:t>
      </w:r>
      <w:r w:rsidRPr="00FE7B72">
        <w:rPr>
          <w:lang w:val="en-GB"/>
        </w:rPr>
        <w:t xml:space="preserve">hazards </w:t>
      </w:r>
      <w:r w:rsidR="006B101C" w:rsidRPr="006B101C">
        <w:rPr>
          <w:lang w:val="en-GB"/>
        </w:rPr>
        <w:t>(Necci and Krausmann, 2022)</w:t>
      </w:r>
      <w:r w:rsidRPr="00FE7B72">
        <w:rPr>
          <w:lang w:val="en-GB"/>
        </w:rPr>
        <w:t>.</w:t>
      </w:r>
      <w:r w:rsidRPr="00B33143">
        <w:rPr>
          <w:lang w:val="en-GB"/>
        </w:rPr>
        <w:t xml:space="preserve"> </w:t>
      </w:r>
      <w:proofErr w:type="spellStart"/>
      <w:r w:rsidRPr="00B33143">
        <w:rPr>
          <w:lang w:val="en-GB"/>
        </w:rPr>
        <w:t>NaTech</w:t>
      </w:r>
      <w:proofErr w:type="spellEnd"/>
      <w:r w:rsidRPr="00B33143">
        <w:rPr>
          <w:lang w:val="en-GB"/>
        </w:rPr>
        <w:t xml:space="preserve"> events exhibit </w:t>
      </w:r>
      <w:r w:rsidR="00804BC7">
        <w:rPr>
          <w:lang w:val="en-GB"/>
        </w:rPr>
        <w:t>unique</w:t>
      </w:r>
      <w:r w:rsidRPr="00B33143">
        <w:rPr>
          <w:lang w:val="en-GB"/>
        </w:rPr>
        <w:t xml:space="preserve"> features that differentiate them from conventional technological accidents, </w:t>
      </w:r>
      <w:r w:rsidR="0041443A">
        <w:rPr>
          <w:lang w:val="en-GB"/>
        </w:rPr>
        <w:t>including</w:t>
      </w:r>
      <w:r w:rsidR="00CE4D4C" w:rsidRPr="00CE4D4C">
        <w:rPr>
          <w:lang w:val="en-GB"/>
        </w:rPr>
        <w:t xml:space="preserve"> potential cascading effects, which </w:t>
      </w:r>
      <w:r w:rsidR="00CE4D4C">
        <w:rPr>
          <w:lang w:val="en-GB"/>
        </w:rPr>
        <w:t>complicate</w:t>
      </w:r>
      <w:r w:rsidR="00CE4D4C" w:rsidRPr="00CE4D4C">
        <w:rPr>
          <w:lang w:val="en-GB"/>
        </w:rPr>
        <w:t xml:space="preserve"> emergency response effort</w:t>
      </w:r>
      <w:r w:rsidR="00CE4D4C">
        <w:rPr>
          <w:lang w:val="en-GB"/>
        </w:rPr>
        <w:t xml:space="preserve">s </w:t>
      </w:r>
      <w:r w:rsidR="00A55BF5">
        <w:rPr>
          <w:lang w:val="en-GB"/>
        </w:rPr>
        <w:t>(Ricci et al., 2024)</w:t>
      </w:r>
      <w:r w:rsidRPr="00B33143">
        <w:rPr>
          <w:lang w:val="en-GB"/>
        </w:rPr>
        <w:t xml:space="preserve">. </w:t>
      </w:r>
      <w:r w:rsidR="006C29E6">
        <w:rPr>
          <w:lang w:val="en-GB"/>
        </w:rPr>
        <w:t>L</w:t>
      </w:r>
      <w:r w:rsidRPr="00B33143">
        <w:rPr>
          <w:lang w:val="en-GB"/>
        </w:rPr>
        <w:t xml:space="preserve">imited awareness </w:t>
      </w:r>
      <w:r w:rsidR="00710865">
        <w:rPr>
          <w:lang w:val="en-GB"/>
        </w:rPr>
        <w:t>or</w:t>
      </w:r>
      <w:r w:rsidRPr="00B33143">
        <w:rPr>
          <w:lang w:val="en-GB"/>
        </w:rPr>
        <w:t xml:space="preserve"> preparedness can significantly reduce the effectiveness of strategies </w:t>
      </w:r>
      <w:r w:rsidR="00C233E6">
        <w:rPr>
          <w:lang w:val="en-GB"/>
        </w:rPr>
        <w:t>to cope with</w:t>
      </w:r>
      <w:r w:rsidRPr="00B33143">
        <w:rPr>
          <w:lang w:val="en-GB"/>
        </w:rPr>
        <w:t xml:space="preserve"> </w:t>
      </w:r>
      <w:proofErr w:type="spellStart"/>
      <w:r w:rsidRPr="00B33143">
        <w:rPr>
          <w:lang w:val="en-GB"/>
        </w:rPr>
        <w:t>NaTech</w:t>
      </w:r>
      <w:proofErr w:type="spellEnd"/>
      <w:r w:rsidRPr="00B33143">
        <w:rPr>
          <w:lang w:val="en-GB"/>
        </w:rPr>
        <w:t xml:space="preserve"> </w:t>
      </w:r>
      <w:r w:rsidR="00D455F0">
        <w:rPr>
          <w:lang w:val="en-GB"/>
        </w:rPr>
        <w:t>events</w:t>
      </w:r>
      <w:r w:rsidRPr="00B33143">
        <w:rPr>
          <w:lang w:val="en-GB"/>
        </w:rPr>
        <w:t xml:space="preserve"> </w:t>
      </w:r>
      <w:r w:rsidRPr="00404DD3">
        <w:rPr>
          <w:lang w:val="en-GB"/>
        </w:rPr>
        <w:t>(Necci and Krausmann, 2022).</w:t>
      </w:r>
    </w:p>
    <w:p w14:paraId="14DFEC07" w14:textId="481F990C" w:rsidR="00A675A9" w:rsidRDefault="005749F3" w:rsidP="00CF5BFD">
      <w:pPr>
        <w:pStyle w:val="CETBodytext"/>
        <w:rPr>
          <w:lang w:val="en-GB"/>
        </w:rPr>
      </w:pPr>
      <w:r w:rsidRPr="005749F3">
        <w:rPr>
          <w:lang w:val="en-GB"/>
        </w:rPr>
        <w:t xml:space="preserve">Among the natural hazards, </w:t>
      </w:r>
      <w:r w:rsidR="00827EC0">
        <w:rPr>
          <w:lang w:val="en-GB"/>
        </w:rPr>
        <w:t xml:space="preserve">the </w:t>
      </w:r>
      <w:r w:rsidRPr="005749F3">
        <w:rPr>
          <w:lang w:val="en-GB"/>
        </w:rPr>
        <w:t>lightning</w:t>
      </w:r>
      <w:r w:rsidR="00B356CA">
        <w:rPr>
          <w:lang w:val="en-GB"/>
        </w:rPr>
        <w:t xml:space="preserve">-triggered technological </w:t>
      </w:r>
      <w:r w:rsidR="00827EC0">
        <w:rPr>
          <w:lang w:val="en-GB"/>
        </w:rPr>
        <w:t>scenarios</w:t>
      </w:r>
      <w:r w:rsidR="00B356CA">
        <w:rPr>
          <w:lang w:val="en-GB"/>
        </w:rPr>
        <w:t xml:space="preserve"> </w:t>
      </w:r>
      <w:r w:rsidR="00B356CA" w:rsidRPr="005749F3">
        <w:rPr>
          <w:lang w:val="en-GB"/>
        </w:rPr>
        <w:t xml:space="preserve">pose </w:t>
      </w:r>
      <w:r w:rsidR="00B356CA">
        <w:rPr>
          <w:lang w:val="en-GB"/>
        </w:rPr>
        <w:t>a</w:t>
      </w:r>
      <w:r w:rsidRPr="005749F3">
        <w:rPr>
          <w:lang w:val="en-GB"/>
        </w:rPr>
        <w:t xml:space="preserve"> critical </w:t>
      </w:r>
      <w:r w:rsidR="00B356CA" w:rsidRPr="005749F3">
        <w:rPr>
          <w:lang w:val="en-GB"/>
        </w:rPr>
        <w:t>trade-off</w:t>
      </w:r>
      <w:r w:rsidRPr="005749F3">
        <w:rPr>
          <w:lang w:val="en-GB"/>
        </w:rPr>
        <w:t xml:space="preserve"> for the process industry</w:t>
      </w:r>
      <w:r w:rsidR="00B356CA">
        <w:rPr>
          <w:lang w:val="en-GB"/>
        </w:rPr>
        <w:t>,</w:t>
      </w:r>
      <w:r w:rsidR="00B356CA" w:rsidRPr="00B356CA">
        <w:rPr>
          <w:lang w:val="en-GB"/>
        </w:rPr>
        <w:t xml:space="preserve"> </w:t>
      </w:r>
      <w:r w:rsidR="00B356CA" w:rsidRPr="005749F3">
        <w:rPr>
          <w:lang w:val="en-GB"/>
        </w:rPr>
        <w:t>combining relatively frequent occurrence with catastrophic consequences</w:t>
      </w:r>
      <w:r w:rsidR="00B356CA">
        <w:rPr>
          <w:lang w:val="en-GB"/>
        </w:rPr>
        <w:t xml:space="preserve"> (</w:t>
      </w:r>
      <w:r w:rsidRPr="005749F3">
        <w:rPr>
          <w:lang w:val="en-GB"/>
        </w:rPr>
        <w:t>Castro Rodriguez et al.</w:t>
      </w:r>
      <w:r w:rsidR="00513A10">
        <w:rPr>
          <w:lang w:val="en-GB"/>
        </w:rPr>
        <w:t xml:space="preserve">, </w:t>
      </w:r>
      <w:r w:rsidRPr="005749F3">
        <w:rPr>
          <w:lang w:val="en-GB"/>
        </w:rPr>
        <w:t xml:space="preserve">2024). </w:t>
      </w:r>
      <w:r w:rsidR="007C388E">
        <w:rPr>
          <w:lang w:val="en-GB"/>
        </w:rPr>
        <w:t>The previous statement is supported by</w:t>
      </w:r>
      <w:r w:rsidR="00E752B9">
        <w:rPr>
          <w:lang w:val="en-GB"/>
        </w:rPr>
        <w:t xml:space="preserve"> e</w:t>
      </w:r>
      <w:r w:rsidRPr="005749F3">
        <w:rPr>
          <w:lang w:val="en-GB"/>
        </w:rPr>
        <w:t xml:space="preserve">arly evidence </w:t>
      </w:r>
      <w:proofErr w:type="spellStart"/>
      <w:r w:rsidR="00E752B9">
        <w:rPr>
          <w:lang w:val="en-GB"/>
        </w:rPr>
        <w:t>analyz</w:t>
      </w:r>
      <w:r w:rsidR="00005865">
        <w:rPr>
          <w:lang w:val="en-GB"/>
        </w:rPr>
        <w:t>ing</w:t>
      </w:r>
      <w:proofErr w:type="spellEnd"/>
      <w:r w:rsidR="00005865">
        <w:rPr>
          <w:lang w:val="en-GB"/>
        </w:rPr>
        <w:t xml:space="preserve"> </w:t>
      </w:r>
      <w:r w:rsidR="00E752B9">
        <w:rPr>
          <w:lang w:val="en-GB"/>
        </w:rPr>
        <w:t xml:space="preserve">the relevance of atmospheric triggers </w:t>
      </w:r>
      <w:r w:rsidR="00F150D3">
        <w:rPr>
          <w:lang w:val="en-GB"/>
        </w:rPr>
        <w:t>in</w:t>
      </w:r>
      <w:r w:rsidR="00E752B9">
        <w:rPr>
          <w:lang w:val="en-GB"/>
        </w:rPr>
        <w:t xml:space="preserve"> 232 accident records,</w:t>
      </w:r>
      <w:r w:rsidRPr="005749F3">
        <w:rPr>
          <w:lang w:val="en-GB"/>
        </w:rPr>
        <w:t xml:space="preserve"> with lightning representing 33% of the identified natural initiating factors</w:t>
      </w:r>
      <w:r w:rsidR="00F83799">
        <w:rPr>
          <w:lang w:val="en-GB"/>
        </w:rPr>
        <w:t xml:space="preserve"> (Rasmussen, 1995)</w:t>
      </w:r>
      <w:r w:rsidRPr="005749F3">
        <w:rPr>
          <w:lang w:val="en-GB"/>
        </w:rPr>
        <w:t>.</w:t>
      </w:r>
      <w:r w:rsidR="00E82811">
        <w:rPr>
          <w:lang w:val="en-GB"/>
        </w:rPr>
        <w:t xml:space="preserve"> </w:t>
      </w:r>
      <w:r w:rsidR="00170EBC">
        <w:rPr>
          <w:lang w:val="en-GB"/>
        </w:rPr>
        <w:t>Q</w:t>
      </w:r>
      <w:r w:rsidRPr="005749F3">
        <w:rPr>
          <w:lang w:val="en-GB"/>
        </w:rPr>
        <w:t xml:space="preserve">uantitative evidence of the magnitude of lightning-induced releases </w:t>
      </w:r>
      <w:r w:rsidR="00C33FD2">
        <w:rPr>
          <w:lang w:val="en-GB"/>
        </w:rPr>
        <w:t>has been given</w:t>
      </w:r>
      <w:r w:rsidRPr="005749F3">
        <w:rPr>
          <w:lang w:val="en-GB"/>
        </w:rPr>
        <w:t xml:space="preserve"> by Renni et al. (201</w:t>
      </w:r>
      <w:r w:rsidR="00DD5845">
        <w:rPr>
          <w:lang w:val="en-GB"/>
        </w:rPr>
        <w:t>0</w:t>
      </w:r>
      <w:r w:rsidRPr="005749F3">
        <w:rPr>
          <w:lang w:val="en-GB"/>
        </w:rPr>
        <w:t>), who show</w:t>
      </w:r>
      <w:r w:rsidR="00170EBC">
        <w:rPr>
          <w:lang w:val="en-GB"/>
        </w:rPr>
        <w:t>n</w:t>
      </w:r>
      <w:r w:rsidRPr="005749F3">
        <w:rPr>
          <w:lang w:val="en-GB"/>
        </w:rPr>
        <w:t xml:space="preserve"> that lightning-</w:t>
      </w:r>
      <w:r w:rsidR="00EE0270">
        <w:rPr>
          <w:lang w:val="en-GB"/>
        </w:rPr>
        <w:t>triggered</w:t>
      </w:r>
      <w:r w:rsidRPr="005749F3">
        <w:rPr>
          <w:lang w:val="en-GB"/>
        </w:rPr>
        <w:t xml:space="preserve"> accidents resulted in off-site loss of containment </w:t>
      </w:r>
      <w:r w:rsidR="0092699B">
        <w:rPr>
          <w:lang w:val="en-GB"/>
        </w:rPr>
        <w:t xml:space="preserve">of dangerous substances </w:t>
      </w:r>
      <w:r w:rsidRPr="005749F3">
        <w:rPr>
          <w:lang w:val="en-GB"/>
        </w:rPr>
        <w:t xml:space="preserve">exceeding 1000 kg in 38% of the 335 </w:t>
      </w:r>
      <w:proofErr w:type="spellStart"/>
      <w:r w:rsidR="00DA2240">
        <w:rPr>
          <w:lang w:val="en-GB"/>
        </w:rPr>
        <w:t>analyzed</w:t>
      </w:r>
      <w:proofErr w:type="spellEnd"/>
      <w:r w:rsidRPr="005749F3">
        <w:rPr>
          <w:lang w:val="en-GB"/>
        </w:rPr>
        <w:t xml:space="preserve"> events</w:t>
      </w:r>
      <w:r w:rsidR="00A03A70" w:rsidRPr="00A03A70">
        <w:rPr>
          <w:lang w:val="en-GB"/>
        </w:rPr>
        <w:t>.</w:t>
      </w:r>
      <w:r w:rsidR="00C33FD2">
        <w:rPr>
          <w:lang w:val="en-GB"/>
        </w:rPr>
        <w:t xml:space="preserve"> </w:t>
      </w:r>
      <w:r w:rsidR="00E25258" w:rsidRPr="00E25258">
        <w:rPr>
          <w:lang w:val="en-GB"/>
        </w:rPr>
        <w:t xml:space="preserve">Recent large-scale datasets (Ricci et al., 2021) confirm lightning as a significant </w:t>
      </w:r>
      <w:proofErr w:type="spellStart"/>
      <w:r w:rsidR="00E25258" w:rsidRPr="00E25258">
        <w:rPr>
          <w:lang w:val="en-GB"/>
        </w:rPr>
        <w:t>NaTech</w:t>
      </w:r>
      <w:proofErr w:type="spellEnd"/>
      <w:r w:rsidR="00E25258" w:rsidRPr="00E25258">
        <w:rPr>
          <w:lang w:val="en-GB"/>
        </w:rPr>
        <w:t xml:space="preserve"> trigger in the process industry (11.3% of 9,100 events), while particular attention should be given to its susceptibility to climate change impacts, due to the expected increase in the frequency and severity of meteorological events (Caratozzolo et al., 2022).</w:t>
      </w:r>
    </w:p>
    <w:p w14:paraId="69D5EFAA" w14:textId="7F3F3726" w:rsidR="000F0367" w:rsidRDefault="006C076D" w:rsidP="00600535">
      <w:pPr>
        <w:pStyle w:val="CETBodytext"/>
        <w:rPr>
          <w:lang w:val="en-GB"/>
        </w:rPr>
      </w:pPr>
      <w:r w:rsidRPr="006C076D">
        <w:lastRenderedPageBreak/>
        <w:t>The severity of lightning-triggered accidents is driven by their high ignition probability, with an 82% likelihood for flammable substances, leading to frequent major fires (Krausmann et al., 2011).</w:t>
      </w:r>
      <w:r w:rsidR="00CF5BFD" w:rsidRPr="00CF5BFD">
        <w:t xml:space="preserve"> Mandal and Agarwal (2023) also identified lightning as the heat source in approximately one-third of exterior storage tank fires, confirming its relevance as a direct ignition mechanism in industrial environments.</w:t>
      </w:r>
      <w:r w:rsidR="00801A23">
        <w:t xml:space="preserve"> </w:t>
      </w:r>
      <w:r w:rsidR="00896FCC" w:rsidRPr="00896FCC">
        <w:t>Lightning may affect chemical facilities through direct strikes, causing structural damage from intense thermal effects, or through indirect mechanisms such as induced sparks, electrical surges, and overvoltage, as well as disruptions to control, instrumentation, and auxiliary systems</w:t>
      </w:r>
      <w:r w:rsidR="00CF5BFD" w:rsidRPr="00CF5BFD">
        <w:t xml:space="preserve">. These interactions can escalate if flammable </w:t>
      </w:r>
      <w:r w:rsidR="00FA35DE" w:rsidRPr="00CF5BFD">
        <w:t>vapors</w:t>
      </w:r>
      <w:r w:rsidR="00CF5BFD" w:rsidRPr="00CF5BFD">
        <w:t xml:space="preserve"> are present</w:t>
      </w:r>
      <w:r w:rsidR="00AD4CE1">
        <w:t xml:space="preserve">. </w:t>
      </w:r>
      <w:r w:rsidR="00DD0D90">
        <w:t>L</w:t>
      </w:r>
      <w:r w:rsidR="00DD0D90" w:rsidRPr="00CF5BFD">
        <w:t>ightning-triggered</w:t>
      </w:r>
      <w:r w:rsidR="00DD0D90">
        <w:t xml:space="preserve"> fires</w:t>
      </w:r>
      <w:r w:rsidR="004B6CA7">
        <w:t xml:space="preserve"> may </w:t>
      </w:r>
      <w:r w:rsidR="00364333" w:rsidRPr="00CF5BFD">
        <w:t xml:space="preserve">generate cascading effects across neighboring equipment, increasing the complexity of emergency </w:t>
      </w:r>
      <w:r w:rsidR="00DA2240">
        <w:t>response</w:t>
      </w:r>
      <w:r w:rsidR="004B6CA7">
        <w:t>.</w:t>
      </w:r>
      <w:r w:rsidR="00AD4CE1" w:rsidRPr="00CF5BFD">
        <w:t xml:space="preserve"> </w:t>
      </w:r>
      <w:r w:rsidR="00AD4CE1">
        <w:t xml:space="preserve"> </w:t>
      </w:r>
      <w:proofErr w:type="spellStart"/>
      <w:r w:rsidR="00CF5BFD" w:rsidRPr="00CF5BFD">
        <w:t>Misuri</w:t>
      </w:r>
      <w:proofErr w:type="spellEnd"/>
      <w:r w:rsidR="00CF5BFD" w:rsidRPr="00CF5BFD">
        <w:t xml:space="preserve"> et al. (2020) demonstrated that fires in storage tanks </w:t>
      </w:r>
      <w:r w:rsidR="00063407">
        <w:t>are</w:t>
      </w:r>
      <w:r w:rsidR="00CF5BFD" w:rsidRPr="00CF5BFD">
        <w:t xml:space="preserve"> a recurrent primary cause of domino escalation. </w:t>
      </w:r>
      <w:r w:rsidR="00D96D83" w:rsidRPr="00D96D83">
        <w:rPr>
          <w:lang w:val="en-GB"/>
        </w:rPr>
        <w:t xml:space="preserve">The </w:t>
      </w:r>
      <w:r w:rsidR="00BF3469">
        <w:rPr>
          <w:lang w:val="en-GB"/>
        </w:rPr>
        <w:t>previous</w:t>
      </w:r>
      <w:r w:rsidR="00D96D83" w:rsidRPr="00D96D83">
        <w:rPr>
          <w:lang w:val="en-GB"/>
        </w:rPr>
        <w:t xml:space="preserve"> considerations suggest that, despite the long-standing recognition of lightning hazards, current protection systems and measures </w:t>
      </w:r>
      <w:r w:rsidR="00D16B21">
        <w:rPr>
          <w:lang w:val="en-GB"/>
        </w:rPr>
        <w:t xml:space="preserve">in </w:t>
      </w:r>
      <w:r w:rsidR="005E088C">
        <w:rPr>
          <w:lang w:val="en-GB"/>
        </w:rPr>
        <w:t>storage farms</w:t>
      </w:r>
      <w:r w:rsidR="00D16B21">
        <w:rPr>
          <w:lang w:val="en-GB"/>
        </w:rPr>
        <w:t xml:space="preserve"> </w:t>
      </w:r>
      <w:r w:rsidR="00D96D83" w:rsidRPr="00D96D83">
        <w:rPr>
          <w:lang w:val="en-GB"/>
        </w:rPr>
        <w:t>m</w:t>
      </w:r>
      <w:r w:rsidR="00C61F65">
        <w:rPr>
          <w:lang w:val="en-GB"/>
        </w:rPr>
        <w:t>ight</w:t>
      </w:r>
      <w:r w:rsidR="00D96D83" w:rsidRPr="00D96D83">
        <w:rPr>
          <w:lang w:val="en-GB"/>
        </w:rPr>
        <w:t xml:space="preserve"> remain insufficient to fully mitigate </w:t>
      </w:r>
      <w:r w:rsidR="00C61F65">
        <w:rPr>
          <w:lang w:val="en-GB"/>
        </w:rPr>
        <w:t>the</w:t>
      </w:r>
      <w:r w:rsidR="00D96D83" w:rsidRPr="00D96D83">
        <w:rPr>
          <w:lang w:val="en-GB"/>
        </w:rPr>
        <w:t xml:space="preserve"> </w:t>
      </w:r>
      <w:proofErr w:type="spellStart"/>
      <w:r w:rsidR="00D96D83" w:rsidRPr="00D96D83">
        <w:rPr>
          <w:lang w:val="en-GB"/>
        </w:rPr>
        <w:t>NaTech</w:t>
      </w:r>
      <w:proofErr w:type="spellEnd"/>
      <w:r w:rsidR="00D96D83" w:rsidRPr="00D96D83">
        <w:rPr>
          <w:lang w:val="en-GB"/>
        </w:rPr>
        <w:t xml:space="preserve"> risk. </w:t>
      </w:r>
      <w:r w:rsidR="00C61F65">
        <w:rPr>
          <w:lang w:val="en-GB"/>
        </w:rPr>
        <w:t>T</w:t>
      </w:r>
      <w:r w:rsidR="00D80A38" w:rsidRPr="00D80A38">
        <w:rPr>
          <w:lang w:val="en-GB"/>
        </w:rPr>
        <w:t>h</w:t>
      </w:r>
      <w:r w:rsidR="00C61F65">
        <w:rPr>
          <w:lang w:val="en-GB"/>
        </w:rPr>
        <w:t>is</w:t>
      </w:r>
      <w:r w:rsidR="00D80A38" w:rsidRPr="00D80A38">
        <w:rPr>
          <w:lang w:val="en-GB"/>
        </w:rPr>
        <w:t xml:space="preserve"> </w:t>
      </w:r>
      <w:r w:rsidR="00C61F65">
        <w:rPr>
          <w:lang w:val="en-GB"/>
        </w:rPr>
        <w:t>research</w:t>
      </w:r>
      <w:r w:rsidR="00D80A38" w:rsidRPr="00D80A38">
        <w:rPr>
          <w:lang w:val="en-GB"/>
        </w:rPr>
        <w:t xml:space="preserve"> performs a structured causal analysis </w:t>
      </w:r>
      <w:r w:rsidR="006E0D07">
        <w:rPr>
          <w:lang w:val="en-GB"/>
        </w:rPr>
        <w:t>around</w:t>
      </w:r>
      <w:r w:rsidR="00D80A38" w:rsidRPr="00D80A38">
        <w:rPr>
          <w:lang w:val="en-GB"/>
        </w:rPr>
        <w:t xml:space="preserve"> the catastrophic </w:t>
      </w:r>
      <w:proofErr w:type="spellStart"/>
      <w:r w:rsidR="00D80A38" w:rsidRPr="00D80A38">
        <w:rPr>
          <w:lang w:val="en-GB"/>
        </w:rPr>
        <w:t>NaTech</w:t>
      </w:r>
      <w:proofErr w:type="spellEnd"/>
      <w:r w:rsidR="00D80A38" w:rsidRPr="00D80A38">
        <w:rPr>
          <w:lang w:val="en-GB"/>
        </w:rPr>
        <w:t xml:space="preserve"> accident </w:t>
      </w:r>
      <w:r w:rsidR="006F0488">
        <w:rPr>
          <w:lang w:val="en-GB"/>
        </w:rPr>
        <w:t>which occurred at</w:t>
      </w:r>
      <w:r w:rsidR="006F0488" w:rsidRPr="00D80A38">
        <w:rPr>
          <w:lang w:val="en-GB"/>
        </w:rPr>
        <w:t xml:space="preserve"> </w:t>
      </w:r>
      <w:r w:rsidR="00D80A38" w:rsidRPr="00D80A38">
        <w:rPr>
          <w:lang w:val="en-GB"/>
        </w:rPr>
        <w:t xml:space="preserve">the Matanzas </w:t>
      </w:r>
      <w:proofErr w:type="spellStart"/>
      <w:r w:rsidR="00D80A38" w:rsidRPr="00D80A38">
        <w:rPr>
          <w:lang w:val="en-GB"/>
        </w:rPr>
        <w:t>Supertanker</w:t>
      </w:r>
      <w:proofErr w:type="spellEnd"/>
      <w:r w:rsidR="00D80A38" w:rsidRPr="00D80A38">
        <w:rPr>
          <w:lang w:val="en-GB"/>
        </w:rPr>
        <w:t xml:space="preserve"> Base (Cuba)</w:t>
      </w:r>
      <w:r w:rsidR="006F0488" w:rsidRPr="006F0488">
        <w:t xml:space="preserve"> </w:t>
      </w:r>
      <w:r w:rsidR="006F0488" w:rsidRPr="006F0488">
        <w:rPr>
          <w:lang w:val="en-GB"/>
        </w:rPr>
        <w:t>on August 5 of 2022</w:t>
      </w:r>
      <w:r w:rsidR="00D80A38" w:rsidRPr="00D80A38">
        <w:rPr>
          <w:lang w:val="en-GB"/>
        </w:rPr>
        <w:t>, examining the event dynamics in relation to key technological and systemic contributing factors</w:t>
      </w:r>
      <w:r w:rsidR="00300DF7">
        <w:rPr>
          <w:lang w:val="en-GB"/>
        </w:rPr>
        <w:t>.</w:t>
      </w:r>
    </w:p>
    <w:p w14:paraId="5741900F" w14:textId="546158D2" w:rsidR="00453E24" w:rsidRDefault="008B7EC5" w:rsidP="00453E24">
      <w:pPr>
        <w:pStyle w:val="CETHeading1"/>
      </w:pPr>
      <w:r>
        <w:t>M</w:t>
      </w:r>
      <w:r w:rsidR="00D45255" w:rsidRPr="00D45255">
        <w:t xml:space="preserve">atanzas </w:t>
      </w:r>
      <w:proofErr w:type="spellStart"/>
      <w:r w:rsidR="00D45255" w:rsidRPr="00D45255">
        <w:t>NaTech</w:t>
      </w:r>
      <w:proofErr w:type="spellEnd"/>
      <w:r w:rsidR="00D45255" w:rsidRPr="00D45255">
        <w:t xml:space="preserve"> Event and Causal Analysis</w:t>
      </w:r>
      <w:r>
        <w:t xml:space="preserve"> </w:t>
      </w:r>
      <w:r w:rsidRPr="008B7EC5">
        <w:t>Framework</w:t>
      </w:r>
    </w:p>
    <w:p w14:paraId="09406386" w14:textId="69F8C3B9" w:rsidR="00453E24" w:rsidRDefault="007E04C8" w:rsidP="00453E24">
      <w:pPr>
        <w:pStyle w:val="CETBodytext"/>
      </w:pPr>
      <w:r w:rsidRPr="007E04C8">
        <w:t>This section consists of two parts: (</w:t>
      </w:r>
      <w:proofErr w:type="spellStart"/>
      <w:r w:rsidRPr="007E04C8">
        <w:t>i</w:t>
      </w:r>
      <w:proofErr w:type="spellEnd"/>
      <w:r w:rsidRPr="007E04C8">
        <w:t xml:space="preserve">) an overall description of the </w:t>
      </w:r>
      <w:r w:rsidR="008635B8" w:rsidRPr="008635B8">
        <w:t xml:space="preserve">lightning-triggered </w:t>
      </w:r>
      <w:r w:rsidR="00774C95">
        <w:t xml:space="preserve">technological accident at </w:t>
      </w:r>
      <w:r w:rsidR="00A1036F">
        <w:t xml:space="preserve">the </w:t>
      </w:r>
      <w:r w:rsidRPr="007E04C8">
        <w:t>Matanzas Supertanker Base</w:t>
      </w:r>
      <w:r w:rsidR="00A71784">
        <w:t>,</w:t>
      </w:r>
      <w:r w:rsidRPr="007E04C8">
        <w:t xml:space="preserve"> </w:t>
      </w:r>
      <w:r w:rsidR="00720D8A">
        <w:t xml:space="preserve">a </w:t>
      </w:r>
      <w:r w:rsidR="00720D8A" w:rsidRPr="007E04C8">
        <w:t>critical energy infrastructure</w:t>
      </w:r>
      <w:r w:rsidR="00720D8A">
        <w:t xml:space="preserve"> in </w:t>
      </w:r>
      <w:r w:rsidRPr="007E04C8">
        <w:t>Cuba</w:t>
      </w:r>
      <w:r w:rsidR="00A1036F">
        <w:t xml:space="preserve">; </w:t>
      </w:r>
      <w:r w:rsidRPr="007E04C8">
        <w:t>and (ii) an outline of the methodological approach adopted to perform a structured causal analysis of th</w:t>
      </w:r>
      <w:r w:rsidR="00774C95">
        <w:t>is</w:t>
      </w:r>
      <w:r w:rsidRPr="007E04C8">
        <w:t xml:space="preserve"> catastrophic </w:t>
      </w:r>
      <w:proofErr w:type="spellStart"/>
      <w:r w:rsidRPr="007E04C8">
        <w:t>NaTech</w:t>
      </w:r>
      <w:proofErr w:type="spellEnd"/>
      <w:r w:rsidRPr="007E04C8">
        <w:t xml:space="preserve"> </w:t>
      </w:r>
      <w:r w:rsidR="00720D8A">
        <w:t>event</w:t>
      </w:r>
      <w:r w:rsidRPr="007E04C8">
        <w:t xml:space="preserve"> </w:t>
      </w:r>
      <w:r w:rsidR="00A71784">
        <w:t>as a case study</w:t>
      </w:r>
      <w:r w:rsidRPr="007E04C8">
        <w:t>.</w:t>
      </w:r>
    </w:p>
    <w:p w14:paraId="79EDAE8C" w14:textId="359950A6" w:rsidR="008635B8" w:rsidRPr="008635B8" w:rsidRDefault="00712089" w:rsidP="008635B8">
      <w:pPr>
        <w:pStyle w:val="CETheadingx"/>
      </w:pPr>
      <w:r>
        <w:t>L</w:t>
      </w:r>
      <w:r w:rsidR="008635B8" w:rsidRPr="008635B8">
        <w:t xml:space="preserve">ightning-triggered </w:t>
      </w:r>
      <w:proofErr w:type="spellStart"/>
      <w:r w:rsidR="008635B8" w:rsidRPr="008635B8">
        <w:t>NaTech</w:t>
      </w:r>
      <w:proofErr w:type="spellEnd"/>
      <w:r w:rsidR="008635B8" w:rsidRPr="008635B8">
        <w:t xml:space="preserve"> at </w:t>
      </w:r>
      <w:r w:rsidR="00063407">
        <w:t>the Supertanker</w:t>
      </w:r>
      <w:r w:rsidR="008635B8" w:rsidRPr="008635B8">
        <w:t xml:space="preserve"> Base of Matanzas, Cuba</w:t>
      </w:r>
    </w:p>
    <w:p w14:paraId="746B17C6" w14:textId="28624513" w:rsidR="00F23895" w:rsidRDefault="00AD0B52" w:rsidP="002F07A8">
      <w:pPr>
        <w:pStyle w:val="CETBodytext"/>
        <w:rPr>
          <w:lang w:val="en-GB"/>
        </w:rPr>
      </w:pPr>
      <w:r w:rsidRPr="00AD0B52">
        <w:rPr>
          <w:lang w:val="en-GB"/>
        </w:rPr>
        <w:t xml:space="preserve">The Matanzas </w:t>
      </w:r>
      <w:proofErr w:type="spellStart"/>
      <w:r w:rsidRPr="00AD0B52">
        <w:rPr>
          <w:lang w:val="en-GB"/>
        </w:rPr>
        <w:t>Supertanker</w:t>
      </w:r>
      <w:proofErr w:type="spellEnd"/>
      <w:r w:rsidRPr="00AD0B52">
        <w:rPr>
          <w:lang w:val="en-GB"/>
        </w:rPr>
        <w:t xml:space="preserve"> Terminal, located in the Port of Matanzas (Cuba) and operated by the national Fuel Commercializing Company (</w:t>
      </w:r>
      <w:r w:rsidRPr="008B3157">
        <w:rPr>
          <w:i/>
          <w:iCs/>
          <w:lang w:val="en-GB"/>
        </w:rPr>
        <w:t xml:space="preserve">Empresa </w:t>
      </w:r>
      <w:proofErr w:type="spellStart"/>
      <w:r w:rsidRPr="008B3157">
        <w:rPr>
          <w:i/>
          <w:iCs/>
          <w:lang w:val="en-GB"/>
        </w:rPr>
        <w:t>Comercializadora</w:t>
      </w:r>
      <w:proofErr w:type="spellEnd"/>
      <w:r w:rsidRPr="008B3157">
        <w:rPr>
          <w:i/>
          <w:iCs/>
          <w:lang w:val="en-GB"/>
        </w:rPr>
        <w:t xml:space="preserve"> de Combustibles in Spanish</w:t>
      </w:r>
      <w:r w:rsidRPr="00AD0B52">
        <w:rPr>
          <w:lang w:val="en-GB"/>
        </w:rPr>
        <w:t xml:space="preserve">), was commissioned in the late 1980s. The terminal comprises five deep-water berths designed to receive tankers of up to 180,000 deadweight tonnage, with a maximum draft of approximately 20 </w:t>
      </w:r>
      <w:proofErr w:type="gramStart"/>
      <w:r w:rsidRPr="00AD0B52">
        <w:rPr>
          <w:lang w:val="en-GB"/>
        </w:rPr>
        <w:t>m.</w:t>
      </w:r>
      <w:r w:rsidR="002F07A8" w:rsidRPr="002F07A8">
        <w:rPr>
          <w:lang w:val="en-GB"/>
        </w:rPr>
        <w:t>.</w:t>
      </w:r>
      <w:proofErr w:type="gramEnd"/>
      <w:r w:rsidR="002F07A8" w:rsidRPr="002F07A8">
        <w:rPr>
          <w:lang w:val="en-GB"/>
        </w:rPr>
        <w:t xml:space="preserve"> With an overall storage capacity close to 800</w:t>
      </w:r>
      <w:r w:rsidR="00494CB2">
        <w:rPr>
          <w:lang w:val="en-GB"/>
        </w:rPr>
        <w:t>,</w:t>
      </w:r>
      <w:r w:rsidR="002F07A8" w:rsidRPr="002F07A8">
        <w:rPr>
          <w:lang w:val="en-GB"/>
        </w:rPr>
        <w:t xml:space="preserve">000 m³, the site represents </w:t>
      </w:r>
      <w:r w:rsidR="001E35DB">
        <w:rPr>
          <w:lang w:val="en-GB"/>
        </w:rPr>
        <w:t xml:space="preserve">one of </w:t>
      </w:r>
      <w:r w:rsidR="002F07A8" w:rsidRPr="002F07A8">
        <w:rPr>
          <w:lang w:val="en-GB"/>
        </w:rPr>
        <w:t xml:space="preserve">the largest national </w:t>
      </w:r>
      <w:r w:rsidR="006573F5" w:rsidRPr="002F07A8">
        <w:rPr>
          <w:lang w:val="en-GB"/>
        </w:rPr>
        <w:t>hubs</w:t>
      </w:r>
      <w:r w:rsidR="002F07A8" w:rsidRPr="002F07A8">
        <w:rPr>
          <w:lang w:val="en-GB"/>
        </w:rPr>
        <w:t xml:space="preserve"> for the handling and storage of multiple petroleum </w:t>
      </w:r>
      <w:r w:rsidR="008E33F2">
        <w:rPr>
          <w:lang w:val="en-GB"/>
        </w:rPr>
        <w:t xml:space="preserve">products </w:t>
      </w:r>
      <w:r w:rsidR="002F07A8" w:rsidRPr="002F07A8">
        <w:rPr>
          <w:lang w:val="en-GB"/>
        </w:rPr>
        <w:t>and is therefore considered a critical component of Cuba energ</w:t>
      </w:r>
      <w:r w:rsidR="004C627F">
        <w:rPr>
          <w:lang w:val="en-GB"/>
        </w:rPr>
        <w:t>etic</w:t>
      </w:r>
      <w:r w:rsidR="002F07A8" w:rsidRPr="002F07A8">
        <w:rPr>
          <w:lang w:val="en-GB"/>
        </w:rPr>
        <w:t xml:space="preserve"> infrastructure.</w:t>
      </w:r>
      <w:r w:rsidR="001B5276">
        <w:rPr>
          <w:lang w:val="en-GB"/>
        </w:rPr>
        <w:t xml:space="preserve"> </w:t>
      </w:r>
      <w:r w:rsidR="002F07A8" w:rsidRPr="002F07A8">
        <w:rPr>
          <w:lang w:val="en-GB"/>
        </w:rPr>
        <w:t xml:space="preserve">In 2012, major rehabilitation works were conducted to restore large-volume crude oil storage units and expand operational capacity. Several tanks were retrofitted with geodesic dome roofs, consisting of lightweight </w:t>
      </w:r>
      <w:r w:rsidR="004B593C">
        <w:rPr>
          <w:lang w:val="en-GB"/>
        </w:rPr>
        <w:t>aluminium</w:t>
      </w:r>
      <w:r w:rsidR="002F07A8" w:rsidRPr="002F07A8">
        <w:rPr>
          <w:lang w:val="en-GB"/>
        </w:rPr>
        <w:t xml:space="preserve"> structural systems </w:t>
      </w:r>
      <w:r w:rsidR="00AB4112">
        <w:rPr>
          <w:lang w:val="en-GB"/>
        </w:rPr>
        <w:t>to</w:t>
      </w:r>
      <w:r w:rsidR="002F07A8" w:rsidRPr="002F07A8">
        <w:rPr>
          <w:lang w:val="en-GB"/>
        </w:rPr>
        <w:t xml:space="preserve"> mitigate hydrocarbon evaporation losses. The storage system include</w:t>
      </w:r>
      <w:r w:rsidR="00621AC4">
        <w:rPr>
          <w:lang w:val="en-GB"/>
        </w:rPr>
        <w:t>d</w:t>
      </w:r>
      <w:r w:rsidR="002F07A8" w:rsidRPr="002F07A8">
        <w:rPr>
          <w:lang w:val="en-GB"/>
        </w:rPr>
        <w:t xml:space="preserve"> ten atmospheric tanks of 50,000 m³ each, eight of which are arranged in the northern tank farm with an inter-tank spacing of approximately 50 m. Additional process and storage units, including the crude supply base and </w:t>
      </w:r>
      <w:r w:rsidR="00061F35">
        <w:rPr>
          <w:lang w:val="en-GB"/>
        </w:rPr>
        <w:t xml:space="preserve">a terminal </w:t>
      </w:r>
      <w:r w:rsidR="002F07A8" w:rsidRPr="002F07A8">
        <w:rPr>
          <w:lang w:val="en-GB"/>
        </w:rPr>
        <w:t>dedicated to refined products, are located in the western sector of the industrial complex, where smaller-capacity tanks are installed</w:t>
      </w:r>
      <w:r w:rsidR="00F23895">
        <w:rPr>
          <w:lang w:val="en-GB"/>
        </w:rPr>
        <w:t xml:space="preserve"> (</w:t>
      </w:r>
      <w:r w:rsidR="00F23895" w:rsidRPr="005A43A1">
        <w:rPr>
          <w:lang w:val="en-GB"/>
        </w:rPr>
        <w:t>Figure 1</w:t>
      </w:r>
      <w:r w:rsidR="00F23895">
        <w:rPr>
          <w:lang w:val="en-GB"/>
        </w:rPr>
        <w:t>).</w:t>
      </w:r>
    </w:p>
    <w:p w14:paraId="3AC5141A" w14:textId="77777777" w:rsidR="00F13DD1" w:rsidRPr="00B57B36" w:rsidRDefault="00F13DD1" w:rsidP="00E977CB">
      <w:pPr>
        <w:pStyle w:val="CETBodytext"/>
        <w:spacing w:before="240"/>
      </w:pPr>
      <w:r>
        <w:rPr>
          <w:noProof/>
        </w:rPr>
        <w:drawing>
          <wp:inline distT="0" distB="0" distL="0" distR="0" wp14:anchorId="7DC2B0C8" wp14:editId="3104E916">
            <wp:extent cx="4375150" cy="2437776"/>
            <wp:effectExtent l="0" t="0" r="6350" b="635"/>
            <wp:docPr id="1201347591" name="Immagine 1" descr="Immagine che contiene testo, schermata,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47591" name="Immagine 1" descr="Immagine che contiene testo, schermata, mappa&#10;&#10;Il contenuto generato dall'IA potrebbe non essere corretto."/>
                    <pic:cNvPicPr/>
                  </pic:nvPicPr>
                  <pic:blipFill>
                    <a:blip r:embed="rId11"/>
                    <a:stretch>
                      <a:fillRect/>
                    </a:stretch>
                  </pic:blipFill>
                  <pic:spPr>
                    <a:xfrm>
                      <a:off x="0" y="0"/>
                      <a:ext cx="4522232" cy="2519728"/>
                    </a:xfrm>
                    <a:prstGeom prst="rect">
                      <a:avLst/>
                    </a:prstGeom>
                  </pic:spPr>
                </pic:pic>
              </a:graphicData>
            </a:graphic>
          </wp:inline>
        </w:drawing>
      </w:r>
    </w:p>
    <w:p w14:paraId="35A10828" w14:textId="77777777" w:rsidR="00F13DD1" w:rsidRDefault="00F13DD1" w:rsidP="00F13DD1">
      <w:pPr>
        <w:pStyle w:val="CETCaption"/>
        <w:spacing w:line="240" w:lineRule="auto"/>
      </w:pPr>
      <w:r w:rsidRPr="00BD077D">
        <w:rPr>
          <w:rStyle w:val="CETCaptionCarattere"/>
          <w:i/>
        </w:rPr>
        <w:t xml:space="preserve">Figure 1: </w:t>
      </w:r>
      <w:r w:rsidRPr="003C7462">
        <w:rPr>
          <w:rStyle w:val="CETCaptionCarattere"/>
          <w:i/>
        </w:rPr>
        <w:t xml:space="preserve">Matanzas </w:t>
      </w:r>
      <w:proofErr w:type="spellStart"/>
      <w:r w:rsidRPr="003C7462">
        <w:rPr>
          <w:rStyle w:val="CETCaptionCarattere"/>
          <w:i/>
        </w:rPr>
        <w:t>Supertanker</w:t>
      </w:r>
      <w:proofErr w:type="spellEnd"/>
      <w:r w:rsidRPr="003C7462">
        <w:rPr>
          <w:rStyle w:val="CETCaptionCarattere"/>
          <w:i/>
        </w:rPr>
        <w:t xml:space="preserve"> </w:t>
      </w:r>
      <w:r>
        <w:rPr>
          <w:rStyle w:val="CETCaptionCarattere"/>
          <w:i/>
        </w:rPr>
        <w:t>Base. Source</w:t>
      </w:r>
      <w:r w:rsidRPr="00BD077D">
        <w:rPr>
          <w:rStyle w:val="CETCaptionCarattere"/>
          <w:i/>
        </w:rPr>
        <w:t xml:space="preserve">: </w:t>
      </w:r>
      <w:r>
        <w:rPr>
          <w:rStyle w:val="CETCaptionCarattere"/>
          <w:i/>
        </w:rPr>
        <w:t xml:space="preserve">Modified from </w:t>
      </w:r>
      <w:r w:rsidRPr="00F701E6">
        <w:rPr>
          <w:rStyle w:val="CETCaptionCarattere"/>
          <w:i/>
        </w:rPr>
        <w:t>Cabrera</w:t>
      </w:r>
      <w:r>
        <w:rPr>
          <w:rStyle w:val="CETCaptionCarattere"/>
          <w:i/>
        </w:rPr>
        <w:t>-</w:t>
      </w:r>
      <w:proofErr w:type="spellStart"/>
      <w:r w:rsidRPr="00F701E6">
        <w:rPr>
          <w:rStyle w:val="CETCaptionCarattere"/>
          <w:i/>
        </w:rPr>
        <w:t>Estupiñán</w:t>
      </w:r>
      <w:proofErr w:type="spellEnd"/>
      <w:r>
        <w:rPr>
          <w:rStyle w:val="CETCaptionCarattere"/>
          <w:i/>
        </w:rPr>
        <w:t xml:space="preserve"> et al. (2016)</w:t>
      </w:r>
      <w:r>
        <w:t>.</w:t>
      </w:r>
    </w:p>
    <w:p w14:paraId="0D7BF9F2" w14:textId="59FBF15D" w:rsidR="00B076B2" w:rsidRDefault="00C8142D" w:rsidP="00E977CB">
      <w:pPr>
        <w:pStyle w:val="CETBodytext"/>
        <w:spacing w:after="240"/>
        <w:rPr>
          <w:lang w:val="en-GB"/>
        </w:rPr>
      </w:pPr>
      <w:r w:rsidRPr="00067534">
        <w:t>The initiating incident occurred on August 5</w:t>
      </w:r>
      <w:r w:rsidR="00B150E4">
        <w:t xml:space="preserve"> of 2022,</w:t>
      </w:r>
      <w:r w:rsidRPr="00067534">
        <w:t xml:space="preserve"> </w:t>
      </w:r>
      <w:r w:rsidR="00CB24DB" w:rsidRPr="00067534">
        <w:t>approximately</w:t>
      </w:r>
      <w:r w:rsidRPr="00067534">
        <w:t xml:space="preserve"> </w:t>
      </w:r>
      <w:r w:rsidR="00494CB2">
        <w:t xml:space="preserve">at </w:t>
      </w:r>
      <w:r w:rsidRPr="00067534">
        <w:t xml:space="preserve">19:00, when lightning struck the geodesic dome roof of one of eight </w:t>
      </w:r>
      <w:r w:rsidR="005456B0">
        <w:t>hydrocarbon tanks</w:t>
      </w:r>
      <w:r w:rsidRPr="00067534">
        <w:t xml:space="preserve"> </w:t>
      </w:r>
      <w:r w:rsidR="00604A33">
        <w:t>in the</w:t>
      </w:r>
      <w:r w:rsidRPr="00067534">
        <w:t xml:space="preserve"> </w:t>
      </w:r>
      <w:r w:rsidR="00604A33">
        <w:t>farm area</w:t>
      </w:r>
      <w:r w:rsidRPr="00067534">
        <w:t xml:space="preserve"> </w:t>
      </w:r>
      <w:r w:rsidR="002172F3" w:rsidRPr="00067534">
        <w:t>igniting a fire</w:t>
      </w:r>
      <w:r w:rsidR="002172F3">
        <w:t xml:space="preserve"> </w:t>
      </w:r>
      <w:r w:rsidR="00044DD7">
        <w:t>(</w:t>
      </w:r>
      <w:r w:rsidR="00C51D67">
        <w:t>T</w:t>
      </w:r>
      <w:r w:rsidR="002172F3">
        <w:t>K-52 in</w:t>
      </w:r>
      <w:r w:rsidR="00044DD7">
        <w:t xml:space="preserve"> Fig</w:t>
      </w:r>
      <w:r w:rsidR="0016401F">
        <w:t>ure</w:t>
      </w:r>
      <w:r w:rsidR="00044DD7">
        <w:t xml:space="preserve"> 1)</w:t>
      </w:r>
      <w:r w:rsidRPr="00067534">
        <w:t>. Th</w:t>
      </w:r>
      <w:r w:rsidR="00604A33">
        <w:t>is</w:t>
      </w:r>
      <w:r w:rsidRPr="00067534">
        <w:t xml:space="preserve"> tank contained approximately 26,000 m³ of fuel oil (</w:t>
      </w:r>
      <w:r w:rsidR="004E6D23">
        <w:t xml:space="preserve">approximately </w:t>
      </w:r>
      <w:r w:rsidRPr="00067534">
        <w:t xml:space="preserve">50% of its capacity). </w:t>
      </w:r>
      <w:r w:rsidR="00437B0B" w:rsidRPr="00437B0B">
        <w:t xml:space="preserve">By 5:00 a.m. on August 6, </w:t>
      </w:r>
      <w:r w:rsidR="00437B0B" w:rsidRPr="00437B0B">
        <w:lastRenderedPageBreak/>
        <w:t>despite ongoing firefighting and cooling efforts, Tank 51 exploded, further escalating the incident.</w:t>
      </w:r>
      <w:r w:rsidRPr="00067534">
        <w:t xml:space="preserve"> </w:t>
      </w:r>
      <w:r w:rsidR="002340A0" w:rsidRPr="002340A0">
        <w:t>Several explosions occurred, including</w:t>
      </w:r>
      <w:r w:rsidR="00A05471">
        <w:t xml:space="preserve"> the</w:t>
      </w:r>
      <w:r w:rsidR="002340A0" w:rsidRPr="002340A0">
        <w:t xml:space="preserve"> </w:t>
      </w:r>
      <w:proofErr w:type="spellStart"/>
      <w:r w:rsidR="002340A0" w:rsidRPr="002340A0">
        <w:t>boilover</w:t>
      </w:r>
      <w:proofErr w:type="spellEnd"/>
      <w:r w:rsidR="00A05471">
        <w:t xml:space="preserve"> phenomenon</w:t>
      </w:r>
      <w:r w:rsidR="007105A9">
        <w:t>—defined</w:t>
      </w:r>
      <w:r w:rsidR="002340A0" w:rsidRPr="002340A0">
        <w:t xml:space="preserve"> as the violent ejection of liquid hydrocarbons caused by the vaporization of water layers beneath the fuel during prolonged storage tank fires. These events led to tank rupture and structural failure</w:t>
      </w:r>
      <w:r w:rsidR="00D233C6">
        <w:t xml:space="preserve">. </w:t>
      </w:r>
      <w:r w:rsidR="00E1391F" w:rsidRPr="00E1391F">
        <w:t xml:space="preserve">By August 8, a change in wind direction from the </w:t>
      </w:r>
      <w:r w:rsidR="00494CB2">
        <w:t>N</w:t>
      </w:r>
      <w:r w:rsidR="00494CB2" w:rsidRPr="00E1391F">
        <w:t xml:space="preserve">ortheast </w:t>
      </w:r>
      <w:r w:rsidR="00E1391F" w:rsidRPr="00E1391F">
        <w:t xml:space="preserve">caused the fire to spread to </w:t>
      </w:r>
      <w:r w:rsidR="00A34AA7">
        <w:t>tank</w:t>
      </w:r>
      <w:r w:rsidR="00E1391F" w:rsidRPr="00E1391F">
        <w:t xml:space="preserve"> </w:t>
      </w:r>
      <w:r w:rsidR="00A34AA7">
        <w:t>50</w:t>
      </w:r>
      <w:r w:rsidR="005B1D4F" w:rsidRPr="005B1D4F">
        <w:t xml:space="preserve"> </w:t>
      </w:r>
      <w:r w:rsidR="005B1D4F" w:rsidRPr="00E1391F">
        <w:t>containing</w:t>
      </w:r>
      <w:r w:rsidR="00C82985">
        <w:t xml:space="preserve"> fuel oil</w:t>
      </w:r>
      <w:r w:rsidR="00E1391F" w:rsidRPr="00E1391F">
        <w:t xml:space="preserve">. The flames subsequently </w:t>
      </w:r>
      <w:r w:rsidR="00CE5129" w:rsidRPr="00E1391F">
        <w:t>reached</w:t>
      </w:r>
      <w:r w:rsidR="00E1391F" w:rsidRPr="00E1391F">
        <w:t xml:space="preserve"> tank </w:t>
      </w:r>
      <w:r w:rsidR="00CE5129">
        <w:t xml:space="preserve">49 </w:t>
      </w:r>
      <w:r w:rsidR="00C82985">
        <w:t xml:space="preserve">of </w:t>
      </w:r>
      <w:r w:rsidR="00C82985" w:rsidRPr="00E1391F">
        <w:t>crude oil</w:t>
      </w:r>
      <w:r w:rsidR="00E1391F" w:rsidRPr="00E1391F">
        <w:t>,</w:t>
      </w:r>
      <w:r w:rsidR="00C82985">
        <w:t xml:space="preserve"> </w:t>
      </w:r>
      <w:r w:rsidR="00E1391F" w:rsidRPr="00E1391F">
        <w:t>thereby substantially increasing the magnitude and consequences of the accident.</w:t>
      </w:r>
      <w:r w:rsidRPr="00067534">
        <w:t xml:space="preserve"> The three additional affected tanks </w:t>
      </w:r>
      <w:r w:rsidR="00FD66C3">
        <w:t xml:space="preserve">after the initiating event </w:t>
      </w:r>
      <w:r w:rsidRPr="00067534">
        <w:t xml:space="preserve">were </w:t>
      </w:r>
      <w:r w:rsidR="00925A3D">
        <w:t>all</w:t>
      </w:r>
      <w:r w:rsidR="00925A3D" w:rsidRPr="00067534">
        <w:t xml:space="preserve"> </w:t>
      </w:r>
      <w:r w:rsidRPr="00067534">
        <w:t>full</w:t>
      </w:r>
      <w:r w:rsidR="000356B6">
        <w:t>,</w:t>
      </w:r>
      <w:r w:rsidR="00FD66C3">
        <w:t xml:space="preserve"> </w:t>
      </w:r>
      <w:r w:rsidRPr="00067534">
        <w:t>with a capacity of 50,000 m³</w:t>
      </w:r>
      <w:r w:rsidR="006B5987">
        <w:rPr>
          <w:lang w:val="en-GB"/>
        </w:rPr>
        <w:t>.</w:t>
      </w:r>
      <w:r w:rsidRPr="00067534">
        <w:t xml:space="preserve"> The resulting thermal radiation reached extreme intensities, severely impacting surrounding industrial areas. Thermal radiation intensities peaked at around 70 kW/m² within a radius of 500 meters after the initial fireball, considerably amplifying the severity of the incident. The firefighters, assisted by </w:t>
      </w:r>
      <w:r w:rsidR="00BD2394">
        <w:t>M</w:t>
      </w:r>
      <w:r w:rsidR="00BD2394" w:rsidRPr="00067534">
        <w:t>exican</w:t>
      </w:r>
      <w:r w:rsidRPr="00067534">
        <w:t xml:space="preserve"> and Venezuelan reinforcements, </w:t>
      </w:r>
      <w:r w:rsidR="0078608D" w:rsidRPr="00067534">
        <w:t xml:space="preserve">also cooled </w:t>
      </w:r>
      <w:r w:rsidR="0078608D">
        <w:t xml:space="preserve">tanks 53, 54, 55, and 56 and </w:t>
      </w:r>
      <w:r w:rsidRPr="00067534">
        <w:t xml:space="preserve">put out the fire after five days. </w:t>
      </w:r>
      <w:r w:rsidR="007465D7" w:rsidRPr="007465D7">
        <w:t xml:space="preserve">The four tanks involved </w:t>
      </w:r>
      <w:r w:rsidR="00972DF4">
        <w:t xml:space="preserve">in the fire </w:t>
      </w:r>
      <w:r w:rsidR="007465D7" w:rsidRPr="007465D7">
        <w:t xml:space="preserve">were destroyed and the inventory was totally </w:t>
      </w:r>
      <w:r w:rsidR="0058594C">
        <w:t>lost</w:t>
      </w:r>
      <w:r w:rsidR="007465D7">
        <w:t>. Consequently</w:t>
      </w:r>
      <w:r w:rsidRPr="00067534">
        <w:t>, a large amount of toxic black smoke persisted for approximately five days, substantially deteriorating regional air quality.</w:t>
      </w:r>
      <w:r w:rsidR="00102CCB">
        <w:t xml:space="preserve"> </w:t>
      </w:r>
      <w:r w:rsidR="002F3C54" w:rsidRPr="001B0D7D">
        <w:rPr>
          <w:lang w:val="en-GB"/>
        </w:rPr>
        <w:t>Although the accident caused substantial operational and environmental impacts, its most severe effects were on the human and social dimension, which reached level 5 on the European industrial accident scale (where 6 represents the maximum severity). This led to 16 fatalities among firefighting personnel, 132 injuries</w:t>
      </w:r>
      <w:r w:rsidR="002F3C54">
        <w:rPr>
          <w:lang w:val="en-GB"/>
        </w:rPr>
        <w:t xml:space="preserve">, </w:t>
      </w:r>
      <w:r w:rsidR="002F3C54" w:rsidRPr="00350CDC">
        <w:rPr>
          <w:lang w:val="en-GB"/>
        </w:rPr>
        <w:t>and the temporary evacuation of 4744 residents</w:t>
      </w:r>
      <w:r w:rsidR="002F3C54">
        <w:rPr>
          <w:lang w:val="en-GB"/>
        </w:rPr>
        <w:t xml:space="preserve"> </w:t>
      </w:r>
      <w:r w:rsidR="002F3C54" w:rsidRPr="001B0D7D">
        <w:rPr>
          <w:lang w:val="en-GB"/>
        </w:rPr>
        <w:t xml:space="preserve">(BARPI, </w:t>
      </w:r>
      <w:r w:rsidR="002F3C54">
        <w:rPr>
          <w:lang w:val="en-GB"/>
        </w:rPr>
        <w:t>2024).</w:t>
      </w:r>
      <w:r w:rsidR="00E977CB">
        <w:rPr>
          <w:lang w:val="en-GB"/>
        </w:rPr>
        <w:t xml:space="preserve"> </w:t>
      </w:r>
      <w:r w:rsidR="00D704D0" w:rsidRPr="005A43A1">
        <w:rPr>
          <w:lang w:val="en-GB"/>
        </w:rPr>
        <w:t>Figure 2</w:t>
      </w:r>
      <w:r w:rsidR="00D704D0" w:rsidRPr="00D704D0">
        <w:rPr>
          <w:b/>
          <w:bCs/>
          <w:lang w:val="en-GB"/>
        </w:rPr>
        <w:t xml:space="preserve"> </w:t>
      </w:r>
      <w:r w:rsidR="00D704D0" w:rsidRPr="00D704D0">
        <w:rPr>
          <w:lang w:val="en-GB"/>
        </w:rPr>
        <w:t xml:space="preserve">shows selected snapshots of the </w:t>
      </w:r>
      <w:r w:rsidR="00835F00" w:rsidRPr="00D704D0">
        <w:rPr>
          <w:lang w:val="en-GB"/>
        </w:rPr>
        <w:t>dynamic</w:t>
      </w:r>
      <w:r w:rsidR="00925A3D">
        <w:rPr>
          <w:lang w:val="en-GB"/>
        </w:rPr>
        <w:t>s</w:t>
      </w:r>
      <w:r w:rsidR="00835F00" w:rsidRPr="00D704D0">
        <w:rPr>
          <w:lang w:val="en-GB"/>
        </w:rPr>
        <w:t xml:space="preserve"> </w:t>
      </w:r>
      <w:r w:rsidR="00D704D0" w:rsidRPr="00D704D0">
        <w:rPr>
          <w:lang w:val="en-GB"/>
        </w:rPr>
        <w:t>described.</w:t>
      </w:r>
    </w:p>
    <w:p w14:paraId="2FC0E81F" w14:textId="4B6097E8" w:rsidR="00E763AC" w:rsidRDefault="00BE48AB" w:rsidP="001E01A1">
      <w:pPr>
        <w:pStyle w:val="CETCaption"/>
        <w:spacing w:before="0" w:after="0" w:line="240" w:lineRule="auto"/>
        <w:jc w:val="left"/>
      </w:pPr>
      <w:r>
        <w:rPr>
          <w:noProof/>
          <w:lang w:val="es-ES"/>
        </w:rPr>
        <w:drawing>
          <wp:inline distT="0" distB="0" distL="0" distR="0" wp14:anchorId="6E42EF5D" wp14:editId="3F6711EC">
            <wp:extent cx="1213200" cy="910800"/>
            <wp:effectExtent l="0" t="0" r="6350" b="3810"/>
            <wp:docPr id="1723109760" name="Immagine 5" descr="Immagine che contiene cielo, fuoco, inquinamento, aria ape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09760" name="Immagine 5" descr="Immagine che contiene cielo, fuoco, inquinamento, aria aperta&#10;&#10;Il contenuto generato dall'IA potrebbe non essere corret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3200" cy="910800"/>
                    </a:xfrm>
                    <a:prstGeom prst="rect">
                      <a:avLst/>
                    </a:prstGeom>
                    <a:noFill/>
                  </pic:spPr>
                </pic:pic>
              </a:graphicData>
            </a:graphic>
          </wp:inline>
        </w:drawing>
      </w:r>
      <w:r w:rsidR="0031425A">
        <w:t xml:space="preserve"> </w:t>
      </w:r>
      <w:r w:rsidR="008D14E5">
        <w:t xml:space="preserve"> </w:t>
      </w:r>
      <w:r w:rsidR="002372D4">
        <w:rPr>
          <w:noProof/>
          <w:lang w:val="es-ES"/>
        </w:rPr>
        <w:drawing>
          <wp:inline distT="0" distB="0" distL="0" distR="0" wp14:anchorId="31F80AE0" wp14:editId="340D78C5">
            <wp:extent cx="1616400" cy="910800"/>
            <wp:effectExtent l="0" t="0" r="3175" b="3810"/>
            <wp:docPr id="1538020331" name="Immagine 3" descr="Immagine che contiene fuoco, vigile del fuoco, calore, edific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13430" name="Immagine 3" descr="Immagine che contiene fuoco, vigile del fuoco, calore, edificio&#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6400" cy="910800"/>
                    </a:xfrm>
                    <a:prstGeom prst="rect">
                      <a:avLst/>
                    </a:prstGeom>
                    <a:noFill/>
                  </pic:spPr>
                </pic:pic>
              </a:graphicData>
            </a:graphic>
          </wp:inline>
        </w:drawing>
      </w:r>
      <w:r w:rsidR="0031425A">
        <w:t xml:space="preserve"> </w:t>
      </w:r>
      <w:r w:rsidR="00F4351B">
        <w:t xml:space="preserve"> </w:t>
      </w:r>
      <w:r w:rsidR="00F4351B">
        <w:rPr>
          <w:noProof/>
        </w:rPr>
        <w:drawing>
          <wp:inline distT="0" distB="0" distL="0" distR="0" wp14:anchorId="7B873859" wp14:editId="1C7E1A2E">
            <wp:extent cx="1616400" cy="910800"/>
            <wp:effectExtent l="0" t="0" r="3175" b="3810"/>
            <wp:docPr id="1814674146" name="Immagine 2" descr="Immagine che contiene calore, aria aperta, fuoco, cielo&#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674146" name="Immagine 2" descr="Immagine che contiene calore, aria aperta, fuoco, cielo&#10;&#10;Il contenuto generato dall'IA potrebbe non essere corretto."/>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6400" cy="910800"/>
                    </a:xfrm>
                    <a:prstGeom prst="rect">
                      <a:avLst/>
                    </a:prstGeom>
                    <a:noFill/>
                  </pic:spPr>
                </pic:pic>
              </a:graphicData>
            </a:graphic>
          </wp:inline>
        </w:drawing>
      </w:r>
      <w:r w:rsidR="008D14E5">
        <w:t xml:space="preserve"> </w:t>
      </w:r>
    </w:p>
    <w:p w14:paraId="7ACF206F" w14:textId="5CAD7FD4" w:rsidR="00531503" w:rsidRDefault="00531503" w:rsidP="001E01A1">
      <w:pPr>
        <w:pStyle w:val="CETCaption"/>
        <w:numPr>
          <w:ilvl w:val="0"/>
          <w:numId w:val="23"/>
        </w:numPr>
        <w:spacing w:before="0" w:after="0" w:line="240" w:lineRule="auto"/>
        <w:ind w:left="1213" w:hanging="357"/>
        <w:jc w:val="left"/>
      </w:pPr>
      <w:r>
        <w:t xml:space="preserve">                                                 b)                                             </w:t>
      </w:r>
      <w:r w:rsidR="00CB4D5F">
        <w:t xml:space="preserve">      </w:t>
      </w:r>
      <w:r>
        <w:t xml:space="preserve"> </w:t>
      </w:r>
      <w:r w:rsidR="0031425A">
        <w:t xml:space="preserve">        </w:t>
      </w:r>
      <w:r>
        <w:t>c</w:t>
      </w:r>
      <w:r w:rsidR="001E01A1">
        <w:t>)</w:t>
      </w:r>
    </w:p>
    <w:p w14:paraId="6AADB2D9" w14:textId="53B07526" w:rsidR="006B5987" w:rsidRDefault="00521B00" w:rsidP="001E01A1">
      <w:pPr>
        <w:pStyle w:val="CETCaption"/>
        <w:spacing w:before="0" w:after="0" w:line="240" w:lineRule="auto"/>
        <w:jc w:val="left"/>
      </w:pPr>
      <w:r>
        <w:rPr>
          <w:noProof/>
        </w:rPr>
        <w:drawing>
          <wp:inline distT="0" distB="0" distL="0" distR="0" wp14:anchorId="2BBEC0CB" wp14:editId="70277056">
            <wp:extent cx="1213200" cy="910800"/>
            <wp:effectExtent l="0" t="0" r="6350" b="3810"/>
            <wp:docPr id="1979603749" name="Immagine 3" descr="Immagine che contiene aria aperta, cielo, fumo, traspor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03749" name="Immagine 3" descr="Immagine che contiene aria aperta, cielo, fumo, trasporto&#10;&#10;Il contenuto generato dall'IA potrebbe non essere corret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3200" cy="910800"/>
                    </a:xfrm>
                    <a:prstGeom prst="rect">
                      <a:avLst/>
                    </a:prstGeom>
                    <a:noFill/>
                  </pic:spPr>
                </pic:pic>
              </a:graphicData>
            </a:graphic>
          </wp:inline>
        </w:drawing>
      </w:r>
      <w:r w:rsidR="008D14E5">
        <w:t xml:space="preserve"> </w:t>
      </w:r>
      <w:r w:rsidR="00793FDC">
        <w:t xml:space="preserve"> </w:t>
      </w:r>
      <w:r w:rsidR="00491759">
        <w:rPr>
          <w:noProof/>
        </w:rPr>
        <w:drawing>
          <wp:inline distT="0" distB="0" distL="0" distR="0" wp14:anchorId="03CBEDD4" wp14:editId="03DEFC34">
            <wp:extent cx="1616400" cy="910800"/>
            <wp:effectExtent l="0" t="0" r="3175" b="3810"/>
            <wp:docPr id="1226335551" name="Immagine 9" descr="Immagine che contiene aria aperta, vapore, inquinamento, fumo&#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335551" name="Immagine 9" descr="Immagine che contiene aria aperta, vapore, inquinamento, fumo&#10;&#10;Il contenuto generato dall'IA potrebbe non essere corretto."/>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400" cy="910800"/>
                    </a:xfrm>
                    <a:prstGeom prst="rect">
                      <a:avLst/>
                    </a:prstGeom>
                    <a:noFill/>
                  </pic:spPr>
                </pic:pic>
              </a:graphicData>
            </a:graphic>
          </wp:inline>
        </w:drawing>
      </w:r>
      <w:r w:rsidR="0031425A">
        <w:t xml:space="preserve">  </w:t>
      </w:r>
      <w:r w:rsidR="0031425A">
        <w:rPr>
          <w:noProof/>
        </w:rPr>
        <w:drawing>
          <wp:inline distT="0" distB="0" distL="0" distR="0" wp14:anchorId="740876E9" wp14:editId="2CBF0E89">
            <wp:extent cx="1616400" cy="910800"/>
            <wp:effectExtent l="0" t="0" r="3175" b="3810"/>
            <wp:docPr id="1967872466" name="Immagine 11" descr="Immagine che contiene nuvola, aria aperta, persona, cielo&#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872466" name="Immagine 11" descr="Immagine che contiene nuvola, aria aperta, persona, cielo&#10;&#10;Il contenuto generato dall'IA potrebbe non essere corretto."/>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6400" cy="910800"/>
                    </a:xfrm>
                    <a:prstGeom prst="rect">
                      <a:avLst/>
                    </a:prstGeom>
                    <a:noFill/>
                  </pic:spPr>
                </pic:pic>
              </a:graphicData>
            </a:graphic>
          </wp:inline>
        </w:drawing>
      </w:r>
    </w:p>
    <w:p w14:paraId="722D1666" w14:textId="3B5E030E" w:rsidR="001E01A1" w:rsidRPr="00B57B36" w:rsidRDefault="001E01A1" w:rsidP="001E01A1">
      <w:pPr>
        <w:pStyle w:val="CETCaption"/>
        <w:spacing w:before="0" w:after="0" w:line="240" w:lineRule="auto"/>
        <w:jc w:val="left"/>
      </w:pPr>
      <w:r>
        <w:t xml:space="preserve">                 d)                                              </w:t>
      </w:r>
      <w:r w:rsidR="00CB4D5F">
        <w:t xml:space="preserve">  </w:t>
      </w:r>
      <w:r>
        <w:t xml:space="preserve">   </w:t>
      </w:r>
      <w:proofErr w:type="gramStart"/>
      <w:r>
        <w:t xml:space="preserve">e)   </w:t>
      </w:r>
      <w:proofErr w:type="gramEnd"/>
      <w:r>
        <w:t xml:space="preserve">                                        </w:t>
      </w:r>
      <w:r w:rsidR="00CB4D5F">
        <w:t xml:space="preserve">  </w:t>
      </w:r>
      <w:r>
        <w:t xml:space="preserve">         </w:t>
      </w:r>
      <w:r w:rsidR="0031425A">
        <w:t xml:space="preserve">       </w:t>
      </w:r>
      <w:r>
        <w:t>f)</w:t>
      </w:r>
    </w:p>
    <w:p w14:paraId="24B32239" w14:textId="758FAB96" w:rsidR="006B5987" w:rsidRDefault="006B5987" w:rsidP="00E977CB">
      <w:pPr>
        <w:pStyle w:val="CETCaption"/>
        <w:spacing w:before="0"/>
        <w:rPr>
          <w:rStyle w:val="CETCaptionCarattere"/>
          <w:i/>
        </w:rPr>
      </w:pPr>
      <w:r w:rsidRPr="00BD077D">
        <w:rPr>
          <w:rStyle w:val="CETCaptionCarattere"/>
          <w:i/>
        </w:rPr>
        <w:t xml:space="preserve">Figure </w:t>
      </w:r>
      <w:r>
        <w:rPr>
          <w:rStyle w:val="CETCaptionCarattere"/>
          <w:i/>
        </w:rPr>
        <w:t>2</w:t>
      </w:r>
      <w:r w:rsidRPr="00BD077D">
        <w:rPr>
          <w:rStyle w:val="CETCaptionCarattere"/>
          <w:i/>
        </w:rPr>
        <w:t xml:space="preserve">: </w:t>
      </w:r>
      <w:r w:rsidR="003B24D8">
        <w:rPr>
          <w:rStyle w:val="CETCaptionCarattere"/>
          <w:i/>
        </w:rPr>
        <w:t>Major f</w:t>
      </w:r>
      <w:r w:rsidR="00A46306" w:rsidRPr="00A46306">
        <w:rPr>
          <w:rStyle w:val="CETCaptionCarattere"/>
          <w:i/>
        </w:rPr>
        <w:t xml:space="preserve">ire at the Matanzas </w:t>
      </w:r>
      <w:proofErr w:type="spellStart"/>
      <w:r w:rsidR="00A46306" w:rsidRPr="00A46306">
        <w:rPr>
          <w:rStyle w:val="CETCaptionCarattere"/>
          <w:i/>
        </w:rPr>
        <w:t>Supertanker</w:t>
      </w:r>
      <w:proofErr w:type="spellEnd"/>
      <w:r w:rsidR="00A46306" w:rsidRPr="00A46306">
        <w:rPr>
          <w:rStyle w:val="CETCaptionCarattere"/>
          <w:i/>
        </w:rPr>
        <w:t xml:space="preserve"> </w:t>
      </w:r>
      <w:r w:rsidR="0054301B">
        <w:rPr>
          <w:rStyle w:val="CETCaptionCarattere"/>
          <w:i/>
        </w:rPr>
        <w:t>Base</w:t>
      </w:r>
      <w:r w:rsidR="00A46306">
        <w:rPr>
          <w:rStyle w:val="CETCaptionCarattere"/>
          <w:i/>
        </w:rPr>
        <w:t>:</w:t>
      </w:r>
      <w:r w:rsidR="00BE48AB">
        <w:rPr>
          <w:rStyle w:val="CETCaptionCarattere"/>
          <w:i/>
        </w:rPr>
        <w:t xml:space="preserve"> a)</w:t>
      </w:r>
      <w:r w:rsidR="00322217">
        <w:rPr>
          <w:rStyle w:val="CETCaptionCarattere"/>
          <w:i/>
        </w:rPr>
        <w:t xml:space="preserve"> </w:t>
      </w:r>
      <w:r w:rsidR="003B24D8">
        <w:rPr>
          <w:rStyle w:val="CETCaptionCarattere"/>
          <w:i/>
        </w:rPr>
        <w:t>F</w:t>
      </w:r>
      <w:r w:rsidR="00283FF5">
        <w:rPr>
          <w:rStyle w:val="CETCaptionCarattere"/>
          <w:i/>
        </w:rPr>
        <w:t xml:space="preserve">ire in </w:t>
      </w:r>
      <w:r w:rsidR="005A43A1">
        <w:rPr>
          <w:rStyle w:val="CETCaptionCarattere"/>
          <w:i/>
        </w:rPr>
        <w:t>t</w:t>
      </w:r>
      <w:r w:rsidR="00283FF5">
        <w:rPr>
          <w:rStyle w:val="CETCaptionCarattere"/>
          <w:i/>
        </w:rPr>
        <w:t>ank 52</w:t>
      </w:r>
      <w:r w:rsidR="0094715B">
        <w:rPr>
          <w:rStyle w:val="CETCaptionCarattere"/>
          <w:i/>
        </w:rPr>
        <w:t xml:space="preserve">. Source: </w:t>
      </w:r>
      <w:r w:rsidR="00322217">
        <w:rPr>
          <w:rStyle w:val="CETCaptionCarattere"/>
          <w:i/>
        </w:rPr>
        <w:t xml:space="preserve">Portal </w:t>
      </w:r>
      <w:proofErr w:type="spellStart"/>
      <w:r w:rsidR="0094715B">
        <w:rPr>
          <w:rStyle w:val="CETCaptionCarattere"/>
          <w:i/>
        </w:rPr>
        <w:t>Cubadebate</w:t>
      </w:r>
      <w:proofErr w:type="spellEnd"/>
      <w:r w:rsidR="0094715B">
        <w:rPr>
          <w:rStyle w:val="CETCaptionCarattere"/>
          <w:i/>
        </w:rPr>
        <w:t>. b)</w:t>
      </w:r>
      <w:r w:rsidR="00BE48AB">
        <w:rPr>
          <w:rStyle w:val="CETCaptionCarattere"/>
          <w:i/>
        </w:rPr>
        <w:t xml:space="preserve"> </w:t>
      </w:r>
      <w:r w:rsidR="00322217">
        <w:rPr>
          <w:rStyle w:val="CETCaptionCarattere"/>
          <w:i/>
        </w:rPr>
        <w:t>F</w:t>
      </w:r>
      <w:r w:rsidR="008B6E65" w:rsidRPr="008B6E65">
        <w:rPr>
          <w:rStyle w:val="CETCaptionCarattere"/>
          <w:i/>
        </w:rPr>
        <w:t>irefighters cooling tank 5</w:t>
      </w:r>
      <w:r w:rsidR="00CB4D5F">
        <w:rPr>
          <w:rStyle w:val="CETCaptionCarattere"/>
          <w:i/>
        </w:rPr>
        <w:t xml:space="preserve">1. Source: </w:t>
      </w:r>
      <w:r w:rsidR="004A1B31">
        <w:rPr>
          <w:rStyle w:val="CETCaptionCarattere"/>
          <w:i/>
        </w:rPr>
        <w:t>Gramma</w:t>
      </w:r>
      <w:r w:rsidR="00CB4D5F" w:rsidRPr="00CB4D5F">
        <w:rPr>
          <w:rStyle w:val="CETCaptionCarattere"/>
          <w:i/>
        </w:rPr>
        <w:t xml:space="preserve"> Newspaper</w:t>
      </w:r>
      <w:r w:rsidR="00CB4D5F">
        <w:rPr>
          <w:rStyle w:val="CETCaptionCarattere"/>
          <w:i/>
        </w:rPr>
        <w:t>. c)</w:t>
      </w:r>
      <w:r w:rsidR="00BF5C04">
        <w:rPr>
          <w:rStyle w:val="CETCaptionCarattere"/>
          <w:i/>
        </w:rPr>
        <w:t xml:space="preserve"> </w:t>
      </w:r>
      <w:r w:rsidR="00097EE2">
        <w:rPr>
          <w:rStyle w:val="CETCaptionCarattere"/>
          <w:i/>
        </w:rPr>
        <w:t xml:space="preserve">Third day of fire. Source: Portal </w:t>
      </w:r>
      <w:proofErr w:type="spellStart"/>
      <w:r w:rsidR="00097EE2">
        <w:rPr>
          <w:rStyle w:val="CETCaptionCarattere"/>
          <w:i/>
        </w:rPr>
        <w:t>Cubadebate</w:t>
      </w:r>
      <w:proofErr w:type="spellEnd"/>
      <w:r w:rsidR="00097EE2">
        <w:rPr>
          <w:rStyle w:val="CETCaptionCarattere"/>
          <w:i/>
        </w:rPr>
        <w:t xml:space="preserve">. </w:t>
      </w:r>
      <w:r w:rsidR="00883F24">
        <w:rPr>
          <w:rStyle w:val="CETCaptionCarattere"/>
          <w:i/>
        </w:rPr>
        <w:t xml:space="preserve">d) </w:t>
      </w:r>
      <w:r w:rsidR="00F139F7">
        <w:rPr>
          <w:rStyle w:val="CETCaptionCarattere"/>
          <w:i/>
        </w:rPr>
        <w:t>Aircraft</w:t>
      </w:r>
      <w:r w:rsidR="00E51864">
        <w:rPr>
          <w:rStyle w:val="CETCaptionCarattere"/>
          <w:i/>
        </w:rPr>
        <w:t xml:space="preserve"> fighting the fire</w:t>
      </w:r>
      <w:r w:rsidR="00F139F7">
        <w:rPr>
          <w:rStyle w:val="CETCaptionCarattere"/>
          <w:i/>
        </w:rPr>
        <w:t xml:space="preserve">. </w:t>
      </w:r>
      <w:r w:rsidR="00883F24">
        <w:rPr>
          <w:rStyle w:val="CETCaptionCarattere"/>
          <w:i/>
        </w:rPr>
        <w:t xml:space="preserve">Source: Portal </w:t>
      </w:r>
      <w:proofErr w:type="spellStart"/>
      <w:r w:rsidR="00883F24">
        <w:rPr>
          <w:rStyle w:val="CETCaptionCarattere"/>
          <w:i/>
        </w:rPr>
        <w:t>Cubadebate</w:t>
      </w:r>
      <w:proofErr w:type="spellEnd"/>
      <w:r w:rsidR="00883F24">
        <w:rPr>
          <w:rStyle w:val="CETCaptionCarattere"/>
          <w:i/>
        </w:rPr>
        <w:t xml:space="preserve">. e) </w:t>
      </w:r>
      <w:r w:rsidR="00097EE2">
        <w:rPr>
          <w:rStyle w:val="CETCaptionCarattere"/>
          <w:i/>
        </w:rPr>
        <w:t xml:space="preserve">Accident zone after five days. Source: The </w:t>
      </w:r>
      <w:r w:rsidR="00097EE2" w:rsidRPr="005A277A">
        <w:rPr>
          <w:rStyle w:val="CETCaptionCarattere"/>
          <w:i/>
        </w:rPr>
        <w:t>presidency of Cuba</w:t>
      </w:r>
      <w:r w:rsidR="00097EE2">
        <w:rPr>
          <w:rStyle w:val="CETCaptionCarattere"/>
          <w:i/>
        </w:rPr>
        <w:t xml:space="preserve">. </w:t>
      </w:r>
      <w:r w:rsidR="00055CAE">
        <w:rPr>
          <w:rStyle w:val="CETCaptionCarattere"/>
          <w:i/>
        </w:rPr>
        <w:t>f</w:t>
      </w:r>
      <w:r w:rsidR="0038364D">
        <w:rPr>
          <w:rStyle w:val="CETCaptionCarattere"/>
          <w:i/>
        </w:rPr>
        <w:t>)</w:t>
      </w:r>
      <w:r w:rsidR="00217087">
        <w:rPr>
          <w:rStyle w:val="CETCaptionCarattere"/>
          <w:i/>
        </w:rPr>
        <w:t xml:space="preserve"> </w:t>
      </w:r>
      <w:r w:rsidR="00097EE2">
        <w:rPr>
          <w:rStyle w:val="CETCaptionCarattere"/>
          <w:i/>
        </w:rPr>
        <w:t>B</w:t>
      </w:r>
      <w:r w:rsidR="00097EE2" w:rsidRPr="00BF5C04">
        <w:rPr>
          <w:rStyle w:val="CETCaptionCarattere"/>
          <w:i/>
        </w:rPr>
        <w:t xml:space="preserve">lack smoke cloud </w:t>
      </w:r>
      <w:r w:rsidR="00097EE2">
        <w:rPr>
          <w:rStyle w:val="CETCaptionCarattere"/>
          <w:i/>
        </w:rPr>
        <w:t xml:space="preserve">above the </w:t>
      </w:r>
      <w:r w:rsidR="001A62EC">
        <w:rPr>
          <w:rStyle w:val="CETCaptionCarattere"/>
          <w:i/>
        </w:rPr>
        <w:t xml:space="preserve">Matanzas </w:t>
      </w:r>
      <w:proofErr w:type="spellStart"/>
      <w:r w:rsidR="00097EE2" w:rsidRPr="003B24D8">
        <w:rPr>
          <w:rStyle w:val="CETCaptionCarattere"/>
          <w:i/>
        </w:rPr>
        <w:t>Supertanker</w:t>
      </w:r>
      <w:proofErr w:type="spellEnd"/>
      <w:r w:rsidR="00097EE2" w:rsidRPr="003B24D8">
        <w:rPr>
          <w:rStyle w:val="CETCaptionCarattere"/>
          <w:i/>
        </w:rPr>
        <w:t xml:space="preserve"> Base</w:t>
      </w:r>
      <w:r w:rsidR="00097EE2">
        <w:rPr>
          <w:rStyle w:val="CETCaptionCarattere"/>
          <w:i/>
        </w:rPr>
        <w:t xml:space="preserve">. Source: Portal </w:t>
      </w:r>
      <w:proofErr w:type="spellStart"/>
      <w:r w:rsidR="00097EE2">
        <w:rPr>
          <w:rStyle w:val="CETCaptionCarattere"/>
          <w:i/>
        </w:rPr>
        <w:t>Cubadebate</w:t>
      </w:r>
      <w:proofErr w:type="spellEnd"/>
      <w:r w:rsidR="00097EE2">
        <w:rPr>
          <w:rStyle w:val="CETCaptionCarattere"/>
          <w:i/>
        </w:rPr>
        <w:t xml:space="preserve">. </w:t>
      </w:r>
    </w:p>
    <w:p w14:paraId="582642C6" w14:textId="231E2898" w:rsidR="00453E24" w:rsidRPr="00DE20A5" w:rsidRDefault="00CA153A" w:rsidP="005C2D7F">
      <w:pPr>
        <w:pStyle w:val="CETheadingx"/>
      </w:pPr>
      <w:r w:rsidRPr="00CA153A">
        <w:t xml:space="preserve">Fishbone </w:t>
      </w:r>
      <w:r>
        <w:t>d</w:t>
      </w:r>
      <w:r w:rsidRPr="00CA153A">
        <w:t xml:space="preserve">iagram </w:t>
      </w:r>
      <w:r>
        <w:t>f</w:t>
      </w:r>
      <w:r w:rsidRPr="00CA153A">
        <w:t xml:space="preserve">ramework for </w:t>
      </w:r>
      <w:r>
        <w:t>s</w:t>
      </w:r>
      <w:r w:rsidRPr="00CA153A">
        <w:t xml:space="preserve">tructured </w:t>
      </w:r>
      <w:r>
        <w:t>c</w:t>
      </w:r>
      <w:r w:rsidRPr="00CA153A">
        <w:t xml:space="preserve">ausal </w:t>
      </w:r>
      <w:r>
        <w:t>a</w:t>
      </w:r>
      <w:r w:rsidRPr="00CA153A">
        <w:t xml:space="preserve">nalysis of </w:t>
      </w:r>
      <w:proofErr w:type="spellStart"/>
      <w:r w:rsidRPr="00CA153A">
        <w:t>NaTech</w:t>
      </w:r>
      <w:proofErr w:type="spellEnd"/>
      <w:r w:rsidRPr="00CA153A">
        <w:t xml:space="preserve"> </w:t>
      </w:r>
      <w:r>
        <w:t>e</w:t>
      </w:r>
      <w:r w:rsidRPr="00CA153A">
        <w:t>vents</w:t>
      </w:r>
    </w:p>
    <w:p w14:paraId="3FA15913" w14:textId="57081DF8" w:rsidR="00E27885" w:rsidRDefault="00EA48A8" w:rsidP="00260088">
      <w:r>
        <w:t>The causal analysis was performed using a</w:t>
      </w:r>
      <w:r w:rsidR="00395239">
        <w:t xml:space="preserve">n innovative </w:t>
      </w:r>
      <w:r>
        <w:t xml:space="preserve">fishbone diagram. The fishbone (or </w:t>
      </w:r>
      <w:r w:rsidR="00DD5686">
        <w:t>cause</w:t>
      </w:r>
      <w:r>
        <w:t>-and-</w:t>
      </w:r>
      <w:r w:rsidR="00DD5686">
        <w:t>effect)</w:t>
      </w:r>
      <w:r>
        <w:t xml:space="preserve"> diagram, originally developed by Dr. Kaoru Ishikawa, is a structured tool for identifying outcomes and the variables that contribute to their occurrence. </w:t>
      </w:r>
      <w:r w:rsidR="00161957" w:rsidRPr="00161957">
        <w:t xml:space="preserve">In this study, the fishbone diagram was adapted by structuring its main branches around the Awareness and Preparedness stages, aligned with the short-term coping capacities for resilient multi-risk </w:t>
      </w:r>
      <w:proofErr w:type="spellStart"/>
      <w:r w:rsidR="00161957" w:rsidRPr="00161957">
        <w:t>NaTech</w:t>
      </w:r>
      <w:proofErr w:type="spellEnd"/>
      <w:r w:rsidR="00161957" w:rsidRPr="00161957">
        <w:t xml:space="preserve"> management in industrial critical infrastructures </w:t>
      </w:r>
      <w:r w:rsidR="00205B6C">
        <w:t>(Castro Rodriguez et al., 2025b).</w:t>
      </w:r>
      <w:r w:rsidR="00AC2E07">
        <w:t xml:space="preserve"> </w:t>
      </w:r>
    </w:p>
    <w:p w14:paraId="3C381DD7" w14:textId="6D728942" w:rsidR="00260088" w:rsidRDefault="00205B6C" w:rsidP="00260088">
      <w:r>
        <w:t xml:space="preserve">Second, </w:t>
      </w:r>
      <w:r w:rsidR="00084AC9">
        <w:t>the</w:t>
      </w:r>
      <w:r>
        <w:t xml:space="preserve"> stratification method </w:t>
      </w:r>
      <w:r w:rsidR="00A01048">
        <w:t>was</w:t>
      </w:r>
      <w:r>
        <w:t xml:space="preserve"> applied to identify the principal potential causes by decomposing </w:t>
      </w:r>
      <w:r w:rsidR="00090902">
        <w:t>criticalities of the sys</w:t>
      </w:r>
      <w:r w:rsidR="005259DA">
        <w:t>tem</w:t>
      </w:r>
      <w:r>
        <w:t xml:space="preserve"> within the </w:t>
      </w:r>
      <w:r w:rsidR="00741CA9">
        <w:t>a</w:t>
      </w:r>
      <w:r>
        <w:t xml:space="preserve">wareness </w:t>
      </w:r>
      <w:r w:rsidR="00741CA9">
        <w:t xml:space="preserve">and the preparedness </w:t>
      </w:r>
      <w:r>
        <w:t>stage</w:t>
      </w:r>
      <w:r w:rsidR="00741CA9">
        <w:t>s</w:t>
      </w:r>
      <w:r w:rsidR="007918C1">
        <w:t xml:space="preserve">. </w:t>
      </w:r>
      <w:r w:rsidR="00741CA9">
        <w:t xml:space="preserve">On the </w:t>
      </w:r>
      <w:r w:rsidR="00D26036">
        <w:t xml:space="preserve">one hand, </w:t>
      </w:r>
      <w:r w:rsidR="00080C48">
        <w:t>f</w:t>
      </w:r>
      <w:r w:rsidR="0099104D">
        <w:t xml:space="preserve">unctional and territorial </w:t>
      </w:r>
      <w:r w:rsidR="00D26036">
        <w:t xml:space="preserve">critical </w:t>
      </w:r>
      <w:r w:rsidR="0099104D">
        <w:t xml:space="preserve">vulnerabilities </w:t>
      </w:r>
      <w:r w:rsidR="00080C48">
        <w:t xml:space="preserve">to lightning </w:t>
      </w:r>
      <w:r w:rsidR="0099104D">
        <w:t>were</w:t>
      </w:r>
      <w:r w:rsidR="00465C91">
        <w:t xml:space="preserve"> </w:t>
      </w:r>
      <w:r w:rsidR="00080C48">
        <w:t>stressed</w:t>
      </w:r>
      <w:r w:rsidR="0099104D">
        <w:t xml:space="preserve"> </w:t>
      </w:r>
      <w:r w:rsidR="00D26036">
        <w:t xml:space="preserve">using </w:t>
      </w:r>
      <w:r w:rsidR="00080C48">
        <w:t>criteria</w:t>
      </w:r>
      <w:r>
        <w:t xml:space="preserve"> </w:t>
      </w:r>
      <w:r w:rsidR="00394999">
        <w:t xml:space="preserve">reported by </w:t>
      </w:r>
      <w:r>
        <w:t>Castro Rodriguez et al. (</w:t>
      </w:r>
      <w:r w:rsidR="00394999">
        <w:t xml:space="preserve">2024, </w:t>
      </w:r>
      <w:r>
        <w:t>2025</w:t>
      </w:r>
      <w:r w:rsidR="007466BB">
        <w:t>b</w:t>
      </w:r>
      <w:r>
        <w:t xml:space="preserve">), </w:t>
      </w:r>
      <w:r w:rsidR="00465C91">
        <w:t>respectively</w:t>
      </w:r>
      <w:r>
        <w:t>.</w:t>
      </w:r>
      <w:r w:rsidR="00C65746">
        <w:t xml:space="preserve"> </w:t>
      </w:r>
      <w:r w:rsidR="003D244B" w:rsidRPr="003D244B">
        <w:t xml:space="preserve">On the </w:t>
      </w:r>
      <w:r w:rsidR="0068484F">
        <w:t xml:space="preserve">other </w:t>
      </w:r>
      <w:r w:rsidR="00AB69E6">
        <w:t>hand,</w:t>
      </w:r>
      <w:r w:rsidR="003D244B" w:rsidRPr="003D244B">
        <w:t xml:space="preserve"> accident-related issues were identified based on applied research on storage tank failures by Chang and Lin (2006). Their work was used to </w:t>
      </w:r>
      <w:r w:rsidR="00680CD9">
        <w:t>link</w:t>
      </w:r>
      <w:r w:rsidR="003D244B" w:rsidRPr="003D244B">
        <w:t xml:space="preserve"> the most critical factors contributing to </w:t>
      </w:r>
      <w:r w:rsidR="004E383F">
        <w:t>lightning-triggered</w:t>
      </w:r>
      <w:r w:rsidR="003D244B" w:rsidRPr="003D244B">
        <w:t xml:space="preserve"> escalation and propagation, consistently with the framework proposed by Sudha and </w:t>
      </w:r>
      <w:proofErr w:type="spellStart"/>
      <w:r w:rsidR="003D244B" w:rsidRPr="003D244B">
        <w:t>Kalaiselvam</w:t>
      </w:r>
      <w:proofErr w:type="spellEnd"/>
      <w:r w:rsidR="003D244B" w:rsidRPr="003D244B">
        <w:t xml:space="preserve"> (2026). In addition, the classification of preventive and mitigation barriers for </w:t>
      </w:r>
      <w:proofErr w:type="spellStart"/>
      <w:r w:rsidR="003D244B" w:rsidRPr="003D244B">
        <w:t>NaTech</w:t>
      </w:r>
      <w:proofErr w:type="spellEnd"/>
      <w:r w:rsidR="003D244B" w:rsidRPr="003D244B">
        <w:t xml:space="preserve"> scenarios in storage tanks developed by Mandal and Agarwal (2023) was adopted to </w:t>
      </w:r>
      <w:r w:rsidR="00DD5686">
        <w:t>reflect</w:t>
      </w:r>
      <w:r w:rsidR="00C3536E">
        <w:t xml:space="preserve"> on</w:t>
      </w:r>
      <w:r w:rsidR="003D244B" w:rsidRPr="003D244B">
        <w:t xml:space="preserve"> the </w:t>
      </w:r>
      <w:r w:rsidR="00DD5686">
        <w:t>system's</w:t>
      </w:r>
      <w:r w:rsidR="003D244B" w:rsidRPr="003D244B">
        <w:t xml:space="preserve"> </w:t>
      </w:r>
      <w:r w:rsidR="00A57374">
        <w:t xml:space="preserve">protective </w:t>
      </w:r>
      <w:r w:rsidR="003D244B" w:rsidRPr="003D244B">
        <w:t xml:space="preserve">capacity to withstand lightning-triggered events. Finally, the criteria proposed by </w:t>
      </w:r>
      <w:proofErr w:type="spellStart"/>
      <w:r w:rsidR="003D244B" w:rsidRPr="003D244B">
        <w:t>Khakzad</w:t>
      </w:r>
      <w:proofErr w:type="spellEnd"/>
      <w:r w:rsidR="003D244B" w:rsidRPr="003D244B">
        <w:t xml:space="preserve"> (2023) were </w:t>
      </w:r>
      <w:r w:rsidR="00226BC7">
        <w:t>used</w:t>
      </w:r>
      <w:r w:rsidR="003D244B" w:rsidRPr="003D244B">
        <w:t xml:space="preserve"> to </w:t>
      </w:r>
      <w:r w:rsidR="00694013">
        <w:t>discuss</w:t>
      </w:r>
      <w:r w:rsidR="003D244B" w:rsidRPr="003D244B">
        <w:t xml:space="preserve"> firefighters thermal dose exposure during emergency response operations.</w:t>
      </w:r>
    </w:p>
    <w:p w14:paraId="677EBFF0" w14:textId="5E08A4D5" w:rsidR="00600535" w:rsidRDefault="0032263A" w:rsidP="00600535">
      <w:pPr>
        <w:pStyle w:val="CETHeading1"/>
        <w:tabs>
          <w:tab w:val="clear" w:pos="360"/>
          <w:tab w:val="right" w:pos="7100"/>
        </w:tabs>
        <w:jc w:val="both"/>
        <w:rPr>
          <w:lang w:val="en-GB"/>
        </w:rPr>
      </w:pPr>
      <w:r w:rsidRPr="0032263A">
        <w:rPr>
          <w:lang w:val="en-GB"/>
        </w:rPr>
        <w:lastRenderedPageBreak/>
        <w:t>Structured Analysis of Vulnerabilities, Protective Capacity, and Emergency Response</w:t>
      </w:r>
    </w:p>
    <w:p w14:paraId="4117F605" w14:textId="1D5BA4C3" w:rsidR="007D6EB7" w:rsidRDefault="008E685C" w:rsidP="0076588B">
      <w:pPr>
        <w:pStyle w:val="CETBodytext"/>
        <w:rPr>
          <w:lang w:val="en-GB"/>
        </w:rPr>
      </w:pPr>
      <w:r w:rsidRPr="008E685C">
        <w:rPr>
          <w:lang w:val="en-GB"/>
        </w:rPr>
        <w:t xml:space="preserve">This section </w:t>
      </w:r>
      <w:r w:rsidR="007307DB" w:rsidRPr="008E685C">
        <w:rPr>
          <w:lang w:val="en-GB"/>
        </w:rPr>
        <w:t>analyses</w:t>
      </w:r>
      <w:r w:rsidRPr="008E685C">
        <w:rPr>
          <w:lang w:val="en-GB"/>
        </w:rPr>
        <w:t xml:space="preserve"> the fishbone diagram in </w:t>
      </w:r>
      <w:r w:rsidRPr="00226BC7">
        <w:rPr>
          <w:lang w:val="en-GB"/>
        </w:rPr>
        <w:t>Figure 3</w:t>
      </w:r>
      <w:r w:rsidRPr="008E685C">
        <w:rPr>
          <w:lang w:val="en-GB"/>
        </w:rPr>
        <w:t xml:space="preserve"> for the </w:t>
      </w:r>
      <w:proofErr w:type="spellStart"/>
      <w:r w:rsidRPr="008E685C">
        <w:rPr>
          <w:lang w:val="en-GB"/>
        </w:rPr>
        <w:t>NaTech</w:t>
      </w:r>
      <w:proofErr w:type="spellEnd"/>
      <w:r w:rsidRPr="008E685C">
        <w:rPr>
          <w:lang w:val="en-GB"/>
        </w:rPr>
        <w:t xml:space="preserve"> accident </w:t>
      </w:r>
      <w:r w:rsidR="007307DB">
        <w:rPr>
          <w:lang w:val="en-GB"/>
        </w:rPr>
        <w:t xml:space="preserve">described in </w:t>
      </w:r>
      <w:r w:rsidR="00FB6114">
        <w:rPr>
          <w:lang w:val="en-GB"/>
        </w:rPr>
        <w:t xml:space="preserve">subsection </w:t>
      </w:r>
      <w:r w:rsidR="007307DB">
        <w:rPr>
          <w:lang w:val="en-GB"/>
        </w:rPr>
        <w:t>2.1</w:t>
      </w:r>
      <w:r w:rsidRPr="008E685C">
        <w:rPr>
          <w:lang w:val="en-GB"/>
        </w:rPr>
        <w:t>, following the structured framework</w:t>
      </w:r>
      <w:r w:rsidR="007307DB">
        <w:rPr>
          <w:lang w:val="en-GB"/>
        </w:rPr>
        <w:t xml:space="preserve"> in 2.2</w:t>
      </w:r>
      <w:r w:rsidRPr="008E685C">
        <w:rPr>
          <w:lang w:val="en-GB"/>
        </w:rPr>
        <w:t>.</w:t>
      </w:r>
      <w:r w:rsidR="00EE6F33">
        <w:rPr>
          <w:lang w:val="en-GB"/>
        </w:rPr>
        <w:t xml:space="preserve"> </w:t>
      </w:r>
      <w:r w:rsidRPr="008E685C">
        <w:rPr>
          <w:lang w:val="en-GB"/>
        </w:rPr>
        <w:t xml:space="preserve">Subsection 3.1 addresses </w:t>
      </w:r>
      <w:r>
        <w:rPr>
          <w:lang w:val="en-GB"/>
        </w:rPr>
        <w:t>location-based</w:t>
      </w:r>
      <w:r w:rsidRPr="008E685C">
        <w:rPr>
          <w:lang w:val="en-GB"/>
        </w:rPr>
        <w:t xml:space="preserve"> vulnerabilitie</w:t>
      </w:r>
      <w:r w:rsidR="00AE2BDE">
        <w:rPr>
          <w:lang w:val="en-GB"/>
        </w:rPr>
        <w:t xml:space="preserve">s, </w:t>
      </w:r>
      <w:r w:rsidRPr="008E685C">
        <w:rPr>
          <w:lang w:val="en-GB"/>
        </w:rPr>
        <w:t xml:space="preserve">3.2 examines technological </w:t>
      </w:r>
      <w:r>
        <w:rPr>
          <w:lang w:val="en-GB"/>
        </w:rPr>
        <w:t>vulnerabilities</w:t>
      </w:r>
      <w:r w:rsidR="0025742A">
        <w:rPr>
          <w:lang w:val="en-GB"/>
        </w:rPr>
        <w:t xml:space="preserve">, </w:t>
      </w:r>
      <w:r w:rsidRPr="008E685C">
        <w:rPr>
          <w:lang w:val="en-GB"/>
        </w:rPr>
        <w:t>3.3 evaluates protective capacity, and 3.4 discusses emergency response.</w:t>
      </w:r>
    </w:p>
    <w:p w14:paraId="5C6E1BE3" w14:textId="3B21838B" w:rsidR="00FD2216" w:rsidRDefault="00A42ECE" w:rsidP="00A52E83">
      <w:pPr>
        <w:pStyle w:val="CETBodytext"/>
        <w:spacing w:after="120"/>
        <w:jc w:val="left"/>
        <w:rPr>
          <w:lang w:val="en-GB"/>
        </w:rPr>
      </w:pPr>
      <w:r>
        <w:object w:dxaOrig="12406" w:dyaOrig="8911" w14:anchorId="3B256F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65pt;height:247.35pt" o:ole="">
            <v:imagedata r:id="rId18" o:title=""/>
          </v:shape>
          <o:OLEObject Type="Embed" ProgID="Visio.Drawing.15" ShapeID="_x0000_i1025" DrawAspect="Content" ObjectID="_1836131233" r:id="rId19"/>
        </w:object>
      </w:r>
    </w:p>
    <w:p w14:paraId="05981E06" w14:textId="06EAFE31" w:rsidR="002C7D78" w:rsidRPr="00BD077D" w:rsidRDefault="002C7D78" w:rsidP="00FD2216">
      <w:pPr>
        <w:pStyle w:val="CETBodytext"/>
      </w:pPr>
      <w:r w:rsidRPr="00BD077D">
        <w:rPr>
          <w:rStyle w:val="CETCaptionCarattere"/>
        </w:rPr>
        <w:t xml:space="preserve">Figure </w:t>
      </w:r>
      <w:r w:rsidR="006670D6">
        <w:rPr>
          <w:rStyle w:val="CETCaptionCarattere"/>
        </w:rPr>
        <w:t>3</w:t>
      </w:r>
      <w:r w:rsidRPr="00BD077D">
        <w:rPr>
          <w:rStyle w:val="CETCaptionCarattere"/>
        </w:rPr>
        <w:t xml:space="preserve">: </w:t>
      </w:r>
      <w:r w:rsidR="006670D6" w:rsidRPr="006670D6">
        <w:rPr>
          <w:rStyle w:val="CETCaptionCarattere"/>
        </w:rPr>
        <w:t xml:space="preserve">Fishbone </w:t>
      </w:r>
      <w:r w:rsidR="00106A94">
        <w:rPr>
          <w:rStyle w:val="CETCaptionCarattere"/>
        </w:rPr>
        <w:t>Diagram of</w:t>
      </w:r>
      <w:r w:rsidR="006670D6" w:rsidRPr="006670D6">
        <w:rPr>
          <w:rStyle w:val="CETCaptionCarattere"/>
        </w:rPr>
        <w:t xml:space="preserve"> lightning-triggered </w:t>
      </w:r>
      <w:proofErr w:type="spellStart"/>
      <w:r w:rsidR="006670D6" w:rsidRPr="006670D6">
        <w:rPr>
          <w:rStyle w:val="CETCaptionCarattere"/>
        </w:rPr>
        <w:t>NaTech</w:t>
      </w:r>
      <w:proofErr w:type="spellEnd"/>
      <w:r w:rsidR="006670D6" w:rsidRPr="006670D6">
        <w:rPr>
          <w:rStyle w:val="CETCaptionCarattere"/>
        </w:rPr>
        <w:t xml:space="preserve"> accident at the Matanzas </w:t>
      </w:r>
      <w:proofErr w:type="spellStart"/>
      <w:r w:rsidR="006670D6" w:rsidRPr="006670D6">
        <w:rPr>
          <w:rStyle w:val="CETCaptionCarattere"/>
        </w:rPr>
        <w:t>Supertanker</w:t>
      </w:r>
      <w:proofErr w:type="spellEnd"/>
      <w:r w:rsidR="006670D6" w:rsidRPr="006670D6">
        <w:rPr>
          <w:rStyle w:val="CETCaptionCarattere"/>
        </w:rPr>
        <w:t xml:space="preserve"> Bas</w:t>
      </w:r>
      <w:r w:rsidR="006670D6">
        <w:rPr>
          <w:rStyle w:val="CETCaptionCarattere"/>
        </w:rPr>
        <w:t>e.</w:t>
      </w:r>
      <w:r w:rsidRPr="00BD077D">
        <w:t xml:space="preserve"> </w:t>
      </w:r>
    </w:p>
    <w:p w14:paraId="7790246B" w14:textId="6F5F24A1" w:rsidR="003229A3" w:rsidRDefault="00E34C3B" w:rsidP="003229A3">
      <w:pPr>
        <w:pStyle w:val="CETheadingx"/>
      </w:pPr>
      <w:r w:rsidRPr="00E34C3B">
        <w:t>Location-</w:t>
      </w:r>
      <w:r w:rsidR="006D2764">
        <w:t>b</w:t>
      </w:r>
      <w:r w:rsidRPr="00E34C3B">
        <w:t xml:space="preserve">ased </w:t>
      </w:r>
      <w:r w:rsidR="006D2764" w:rsidRPr="00E34C3B">
        <w:t xml:space="preserve">vulnerability to lightning at </w:t>
      </w:r>
      <w:r w:rsidR="006D2764">
        <w:t xml:space="preserve">the </w:t>
      </w:r>
      <w:r w:rsidRPr="00E34C3B">
        <w:t>Matanzas Supertanker Base</w:t>
      </w:r>
    </w:p>
    <w:p w14:paraId="440BA266" w14:textId="7113740D" w:rsidR="00CE7732" w:rsidRDefault="00CE7732" w:rsidP="00CE7732">
      <w:pPr>
        <w:pStyle w:val="CETBodytext"/>
      </w:pPr>
      <w:r w:rsidRPr="0005511C">
        <w:t xml:space="preserve">In Cuba, lightning frequency is estimated based on the average annual number of thunderstorm days, or </w:t>
      </w:r>
      <w:proofErr w:type="spellStart"/>
      <w:r w:rsidRPr="0005511C">
        <w:t>keraunic</w:t>
      </w:r>
      <w:proofErr w:type="spellEnd"/>
      <w:r w:rsidRPr="0005511C">
        <w:t xml:space="preserve"> level </w:t>
      </w:r>
      <w:r>
        <w:t>(</w:t>
      </w:r>
      <w:r w:rsidRPr="00BC4B9A">
        <w:rPr>
          <w:i/>
          <w:iCs/>
        </w:rPr>
        <w:t>T</w:t>
      </w:r>
      <w:r w:rsidRPr="00BC4B9A">
        <w:rPr>
          <w:i/>
          <w:iCs/>
          <w:vertAlign w:val="subscript"/>
        </w:rPr>
        <w:t>d</w:t>
      </w:r>
      <w:r w:rsidRPr="0005511C">
        <w:t xml:space="preserve">) (Álvarez-Escudero and </w:t>
      </w:r>
      <w:proofErr w:type="spellStart"/>
      <w:r w:rsidRPr="0005511C">
        <w:t>Borrajero</w:t>
      </w:r>
      <w:proofErr w:type="spellEnd"/>
      <w:r w:rsidRPr="0005511C">
        <w:t xml:space="preserve">-Montejo, 2020). </w:t>
      </w:r>
      <w:r>
        <w:t xml:space="preserve">Specifically, </w:t>
      </w:r>
      <w:r w:rsidRPr="0005511C">
        <w:t xml:space="preserve">Matanzas stands out as one of the provinces with the highest occurrence percentages, with </w:t>
      </w:r>
      <w:proofErr w:type="spellStart"/>
      <w:r w:rsidRPr="0005511C">
        <w:t>iso</w:t>
      </w:r>
      <w:r>
        <w:t>keuranic</w:t>
      </w:r>
      <w:proofErr w:type="spellEnd"/>
      <w:r w:rsidRPr="0005511C">
        <w:t xml:space="preserve"> values in the north-central strip ranging between 130 and 150 days/</w:t>
      </w:r>
      <w:r w:rsidR="00AF0DBF" w:rsidRPr="0005511C">
        <w:t>year</w:t>
      </w:r>
      <w:r w:rsidR="00AF0DBF">
        <w:t xml:space="preserve"> and</w:t>
      </w:r>
      <w:r w:rsidR="00E66D4F" w:rsidRPr="00E66D4F">
        <w:t xml:space="preserve"> reaching their maximum activity in August</w:t>
      </w:r>
      <w:r w:rsidRPr="0005511C">
        <w:t xml:space="preserve">. Taking the median value, </w:t>
      </w:r>
      <w:r w:rsidR="008232C0">
        <w:t>the</w:t>
      </w:r>
      <w:r w:rsidRPr="0005511C">
        <w:t xml:space="preserve"> </w:t>
      </w:r>
      <w:proofErr w:type="spellStart"/>
      <w:r w:rsidRPr="0005511C">
        <w:t>keraunic</w:t>
      </w:r>
      <w:proofErr w:type="spellEnd"/>
      <w:r w:rsidRPr="0005511C">
        <w:t xml:space="preserve"> level </w:t>
      </w:r>
      <w:r>
        <w:t xml:space="preserve">of </w:t>
      </w:r>
      <w:r w:rsidRPr="00E13882">
        <w:rPr>
          <w:i/>
          <w:iCs/>
        </w:rPr>
        <w:t>T</w:t>
      </w:r>
      <w:r w:rsidRPr="00E13882">
        <w:rPr>
          <w:i/>
          <w:iCs/>
          <w:vertAlign w:val="subscript"/>
        </w:rPr>
        <w:t>d</w:t>
      </w:r>
      <w:r w:rsidRPr="0005511C">
        <w:t>=</w:t>
      </w:r>
      <w:r>
        <w:t xml:space="preserve">140 </w:t>
      </w:r>
      <w:r w:rsidRPr="0005511C">
        <w:t xml:space="preserve">days/year, the </w:t>
      </w:r>
      <w:r>
        <w:t>d</w:t>
      </w:r>
      <w:r w:rsidRPr="00BC4B9A">
        <w:t>ensity of lightning strikes to the ground</w:t>
      </w:r>
      <w:r>
        <w:t xml:space="preserve"> </w:t>
      </w:r>
      <w:r w:rsidRPr="0005511C">
        <w:t>(N</w:t>
      </w:r>
      <w:r w:rsidRPr="0005511C">
        <w:rPr>
          <w:vertAlign w:val="subscript"/>
        </w:rPr>
        <w:t>g</w:t>
      </w:r>
      <w:r w:rsidRPr="0005511C">
        <w:t>) was determined using the</w:t>
      </w:r>
      <w:r>
        <w:t xml:space="preserve"> estimation in</w:t>
      </w:r>
      <w:r w:rsidRPr="0005511C">
        <w:t xml:space="preserve"> </w:t>
      </w:r>
      <w:proofErr w:type="spellStart"/>
      <w:r w:rsidRPr="0019604C">
        <w:rPr>
          <w:lang w:val="en-GB"/>
        </w:rPr>
        <w:t>Eq</w:t>
      </w:r>
      <w:proofErr w:type="spellEnd"/>
      <w:r w:rsidR="002F26EB">
        <w:rPr>
          <w:lang w:val="en-GB"/>
        </w:rPr>
        <w:t xml:space="preserve"> </w:t>
      </w:r>
      <w:r w:rsidRPr="0019604C">
        <w:rPr>
          <w:lang w:val="en-GB"/>
        </w:rPr>
        <w:t>(1)</w:t>
      </w:r>
      <w:r>
        <w:rPr>
          <w:lang w:val="en-GB"/>
        </w:rPr>
        <w:t xml:space="preserve">, </w:t>
      </w:r>
      <w:r w:rsidRPr="0005511C">
        <w:t xml:space="preserve">according to </w:t>
      </w:r>
      <w:r>
        <w:t xml:space="preserve">Annex A of the Cuban national standard NC </w:t>
      </w:r>
      <w:r w:rsidRPr="0005511C">
        <w:t>IEC 62305-2</w:t>
      </w:r>
      <w:r>
        <w:t xml:space="preserve"> (2009).</w:t>
      </w:r>
    </w:p>
    <w:p w14:paraId="0D61FBC6" w14:textId="0BAA778C" w:rsidR="00CE7732" w:rsidRPr="00B15F31" w:rsidRDefault="00000000" w:rsidP="009879B4">
      <w:pPr>
        <w:pStyle w:val="CETEquation"/>
      </w:pPr>
      <m:oMath>
        <m:sSub>
          <m:sSubPr>
            <m:ctrlPr>
              <w:rPr>
                <w:rFonts w:ascii="Cambria Math" w:hAnsi="Cambria Math"/>
                <w:lang w:val="en-US"/>
              </w:rPr>
            </m:ctrlPr>
          </m:sSubPr>
          <m:e>
            <m:r>
              <w:rPr>
                <w:rFonts w:ascii="Cambria Math" w:hAnsi="Cambria Math"/>
              </w:rPr>
              <m:t>N</m:t>
            </m:r>
          </m:e>
          <m:sub>
            <m:r>
              <w:rPr>
                <w:rFonts w:ascii="Cambria Math" w:hAnsi="Cambria Math"/>
              </w:rPr>
              <m:t>g</m:t>
            </m:r>
          </m:sub>
        </m:sSub>
        <m:r>
          <m:rPr>
            <m:sty m:val="p"/>
          </m:rPr>
          <w:rPr>
            <w:rFonts w:ascii="Cambria Math" w:hAnsi="Cambria Math"/>
          </w:rPr>
          <m:t>≈0.1∙</m:t>
        </m:r>
        <m:sSub>
          <m:sSubPr>
            <m:ctrlPr>
              <w:rPr>
                <w:rFonts w:ascii="Cambria Math" w:hAnsi="Cambria Math"/>
              </w:rPr>
            </m:ctrlPr>
          </m:sSubPr>
          <m:e>
            <m:r>
              <w:rPr>
                <w:rFonts w:ascii="Cambria Math" w:hAnsi="Cambria Math"/>
              </w:rPr>
              <m:t>T</m:t>
            </m:r>
          </m:e>
          <m:sub>
            <m:r>
              <w:rPr>
                <w:rFonts w:ascii="Cambria Math" w:hAnsi="Cambria Math"/>
              </w:rPr>
              <m:t>d</m:t>
            </m:r>
          </m:sub>
        </m:sSub>
        <m:r>
          <m:rPr>
            <m:sty m:val="p"/>
          </m:rPr>
          <w:rPr>
            <w:rFonts w:ascii="Cambria Math" w:hAnsi="Cambria Math"/>
          </w:rPr>
          <m:t xml:space="preserve">=0.1∙140=14 </m:t>
        </m:r>
        <m:r>
          <w:rPr>
            <w:rFonts w:ascii="Cambria Math" w:hAnsi="Cambria Math"/>
          </w:rPr>
          <m:t>lightning</m:t>
        </m:r>
        <m:r>
          <m:rPr>
            <m:sty m:val="p"/>
          </m:rPr>
          <w:rPr>
            <w:rFonts w:ascii="Cambria Math" w:hAnsi="Cambria Math"/>
          </w:rPr>
          <m:t>/</m:t>
        </m:r>
        <m:r>
          <w:rPr>
            <w:rFonts w:ascii="Cambria Math" w:hAnsi="Cambria Math"/>
          </w:rPr>
          <m:t>year</m:t>
        </m:r>
        <m:r>
          <m:rPr>
            <m:sty m:val="p"/>
          </m:rPr>
          <w:rPr>
            <w:rFonts w:ascii="Cambria Math" w:hAnsi="Cambria Math"/>
          </w:rPr>
          <m:t>⋅</m:t>
        </m:r>
        <m:sSup>
          <m:sSupPr>
            <m:ctrlPr>
              <w:rPr>
                <w:rFonts w:ascii="Cambria Math" w:hAnsi="Cambria Math"/>
                <w:lang w:val="en-US"/>
              </w:rPr>
            </m:ctrlPr>
          </m:sSupPr>
          <m:e>
            <m:r>
              <w:rPr>
                <w:rFonts w:ascii="Cambria Math" w:hAnsi="Cambria Math"/>
              </w:rPr>
              <m:t>km</m:t>
            </m:r>
          </m:e>
          <m:sup>
            <m:r>
              <m:rPr>
                <m:sty m:val="p"/>
              </m:rPr>
              <w:rPr>
                <w:rFonts w:ascii="Cambria Math" w:hAnsi="Cambria Math"/>
              </w:rPr>
              <m:t>2</m:t>
            </m:r>
          </m:sup>
        </m:sSup>
      </m:oMath>
      <w:r w:rsidR="00CE7732">
        <w:rPr>
          <w:lang w:val="en-US"/>
        </w:rPr>
        <w:t xml:space="preserve">            </w:t>
      </w:r>
      <w:r w:rsidR="00F40453">
        <w:rPr>
          <w:lang w:val="en-US"/>
        </w:rPr>
        <w:t xml:space="preserve"> </w:t>
      </w:r>
      <w:r w:rsidR="00CE7732">
        <w:rPr>
          <w:lang w:val="en-US"/>
        </w:rPr>
        <w:t xml:space="preserve">                                    </w:t>
      </w:r>
      <w:r w:rsidR="00777685">
        <w:rPr>
          <w:lang w:val="en-US"/>
        </w:rPr>
        <w:t xml:space="preserve">                </w:t>
      </w:r>
      <w:r w:rsidR="00CE7732">
        <w:rPr>
          <w:lang w:val="en-US"/>
        </w:rPr>
        <w:t xml:space="preserve">                        (1)</w:t>
      </w:r>
    </w:p>
    <w:p w14:paraId="04E5CDB6" w14:textId="2BDBEB42" w:rsidR="00CE7732" w:rsidRPr="00B46C70" w:rsidRDefault="00C06554" w:rsidP="0070708B">
      <w:pPr>
        <w:pStyle w:val="CETBodytext"/>
        <w:rPr>
          <w:lang w:val="en-GB"/>
        </w:rPr>
      </w:pPr>
      <w:r w:rsidRPr="00C06554">
        <w:rPr>
          <w:i/>
          <w:iCs/>
        </w:rPr>
        <w:t>N</w:t>
      </w:r>
      <w:r w:rsidRPr="00C06554">
        <w:rPr>
          <w:i/>
          <w:iCs/>
          <w:vertAlign w:val="subscript"/>
        </w:rPr>
        <w:t>g</w:t>
      </w:r>
      <w:r w:rsidRPr="00C06554">
        <w:t xml:space="preserve"> ≈ 14 strikes/year·km² exceeds the Ng &gt; 8 threshold for very high atmospheric exposure (Krausmann et al., 2011), indicating extreme territorial vulnerability</w:t>
      </w:r>
      <w:r w:rsidR="00FF6D73">
        <w:t xml:space="preserve"> (typical of the Caribbean zones) </w:t>
      </w:r>
      <w:r w:rsidRPr="00C06554">
        <w:t xml:space="preserve">and justifying maximum protection levels. Reinforcement is particularly critical during the </w:t>
      </w:r>
      <w:r w:rsidR="00626DE6">
        <w:t>spring and summer</w:t>
      </w:r>
      <w:r w:rsidRPr="00C06554">
        <w:t xml:space="preserve"> peak</w:t>
      </w:r>
      <w:r w:rsidR="00626DE6">
        <w:t>s</w:t>
      </w:r>
      <w:r w:rsidRPr="00C06554">
        <w:t xml:space="preserve">, consistent with the </w:t>
      </w:r>
      <w:r w:rsidR="00626DE6">
        <w:t>85%)</w:t>
      </w:r>
      <w:r w:rsidR="00626DE6" w:rsidRPr="00C06554">
        <w:t xml:space="preserve"> </w:t>
      </w:r>
      <w:r w:rsidR="00626DE6">
        <w:t xml:space="preserve">of the </w:t>
      </w:r>
      <w:r w:rsidRPr="00C06554">
        <w:t xml:space="preserve">seasonality </w:t>
      </w:r>
      <w:r w:rsidR="00626DE6">
        <w:t>patterns reflected by</w:t>
      </w:r>
      <w:r w:rsidR="00BF40FC">
        <w:t xml:space="preserve"> </w:t>
      </w:r>
      <w:r w:rsidR="00626DE6">
        <w:t xml:space="preserve">historical </w:t>
      </w:r>
      <w:r w:rsidR="00626DE6" w:rsidRPr="00C06554">
        <w:t>lightning</w:t>
      </w:r>
      <w:r w:rsidRPr="00C06554">
        <w:t xml:space="preserve">-triggered </w:t>
      </w:r>
      <w:proofErr w:type="spellStart"/>
      <w:r w:rsidRPr="00C06554">
        <w:t>NaTech</w:t>
      </w:r>
      <w:proofErr w:type="spellEnd"/>
      <w:r w:rsidRPr="00C06554">
        <w:t xml:space="preserve"> </w:t>
      </w:r>
      <w:r w:rsidR="00BF40FC">
        <w:t>records</w:t>
      </w:r>
      <w:r w:rsidR="00EE1930">
        <w:t xml:space="preserve"> </w:t>
      </w:r>
      <w:r w:rsidRPr="00C06554">
        <w:t>(Castro Rodr</w:t>
      </w:r>
      <w:r w:rsidR="00626DE6">
        <w:t>i</w:t>
      </w:r>
      <w:r w:rsidRPr="00C06554">
        <w:t>guez et al., 2024</w:t>
      </w:r>
      <w:proofErr w:type="gramStart"/>
      <w:r w:rsidRPr="00C06554">
        <w:t>)</w:t>
      </w:r>
      <w:r w:rsidR="00D73CF8">
        <w:t xml:space="preserve">, </w:t>
      </w:r>
      <w:r w:rsidR="00D73CF8" w:rsidRPr="00D73CF8">
        <w:t>and</w:t>
      </w:r>
      <w:proofErr w:type="gramEnd"/>
      <w:r w:rsidR="00D73CF8" w:rsidRPr="00D73CF8">
        <w:t xml:space="preserve"> should be further emphasized </w:t>
      </w:r>
      <w:proofErr w:type="gramStart"/>
      <w:r w:rsidR="00D73CF8" w:rsidRPr="00D73CF8">
        <w:t>in light of</w:t>
      </w:r>
      <w:proofErr w:type="gramEnd"/>
      <w:r w:rsidR="00D73CF8" w:rsidRPr="00D73CF8">
        <w:t xml:space="preserve"> </w:t>
      </w:r>
      <w:r w:rsidR="00AB26A3">
        <w:t>potential associated</w:t>
      </w:r>
      <w:r w:rsidR="00D73CF8" w:rsidRPr="00D73CF8">
        <w:t xml:space="preserve"> </w:t>
      </w:r>
      <w:r w:rsidR="00D73CF8">
        <w:t>impacts</w:t>
      </w:r>
      <w:r w:rsidR="00D73CF8" w:rsidRPr="00D73CF8">
        <w:t xml:space="preserve"> of climate change</w:t>
      </w:r>
      <w:r w:rsidRPr="00C06554">
        <w:t>.</w:t>
      </w:r>
      <w:r w:rsidR="00C90EB1">
        <w:t xml:space="preserve"> </w:t>
      </w:r>
      <w:r w:rsidR="00EC25E4" w:rsidRPr="00EC25E4">
        <w:t xml:space="preserve">The occurrence of the Matanzas accident in August </w:t>
      </w:r>
      <w:r w:rsidR="00017A3B" w:rsidRPr="00017A3B">
        <w:t xml:space="preserve">and prior nearby strike at the Antonio </w:t>
      </w:r>
      <w:proofErr w:type="spellStart"/>
      <w:r w:rsidR="00017A3B" w:rsidRPr="00017A3B">
        <w:t>Guiteras</w:t>
      </w:r>
      <w:proofErr w:type="spellEnd"/>
      <w:r w:rsidR="00017A3B" w:rsidRPr="00017A3B">
        <w:t xml:space="preserve"> thermoelectric plant</w:t>
      </w:r>
      <w:r w:rsidR="0053477D">
        <w:t xml:space="preserve"> at</w:t>
      </w:r>
      <w:r w:rsidR="00017A3B" w:rsidRPr="00017A3B">
        <w:t xml:space="preserve"> </w:t>
      </w:r>
      <w:r w:rsidR="00017A3B" w:rsidRPr="00B46C70">
        <w:t xml:space="preserve">3000 m </w:t>
      </w:r>
      <w:r w:rsidR="0053477D">
        <w:t xml:space="preserve">of distance </w:t>
      </w:r>
      <w:r w:rsidR="00017A3B" w:rsidRPr="00B46C70">
        <w:t>approximately</w:t>
      </w:r>
      <w:r w:rsidR="0053477D">
        <w:t>,</w:t>
      </w:r>
      <w:r w:rsidR="00017A3B" w:rsidRPr="00017A3B">
        <w:t xml:space="preserve"> further confirm</w:t>
      </w:r>
      <w:r w:rsidR="009C355F">
        <w:t xml:space="preserve"> not only the </w:t>
      </w:r>
      <w:r w:rsidR="009C355F" w:rsidRPr="00EC25E4">
        <w:t xml:space="preserve">seasonal </w:t>
      </w:r>
      <w:r w:rsidR="009C355F">
        <w:t xml:space="preserve">pattern but also the </w:t>
      </w:r>
      <w:r w:rsidR="00017A3B" w:rsidRPr="00017A3B">
        <w:t>systemic regional exposure</w:t>
      </w:r>
      <w:r w:rsidR="009C355F">
        <w:t xml:space="preserve">, </w:t>
      </w:r>
      <w:r w:rsidR="00EC25E4" w:rsidRPr="00B46C70">
        <w:t xml:space="preserve">which should have served as a warning signal for operators and </w:t>
      </w:r>
      <w:r w:rsidR="00E31940">
        <w:t>practitioners.</w:t>
      </w:r>
    </w:p>
    <w:p w14:paraId="7731DDDA" w14:textId="1C1BBAA1" w:rsidR="006B21A4" w:rsidRPr="00B46C70" w:rsidRDefault="006E2894" w:rsidP="006B21A4">
      <w:pPr>
        <w:pStyle w:val="CETheadingx"/>
      </w:pPr>
      <w:r w:rsidRPr="00B46C70">
        <w:t>Functional-</w:t>
      </w:r>
      <w:r w:rsidR="006D2764">
        <w:t>b</w:t>
      </w:r>
      <w:r w:rsidRPr="00B46C70">
        <w:t xml:space="preserve">ased </w:t>
      </w:r>
      <w:r w:rsidR="006D2764" w:rsidRPr="00B46C70">
        <w:t xml:space="preserve">vulnerability analysis of lightning at </w:t>
      </w:r>
      <w:r w:rsidRPr="00B46C70">
        <w:t>the Matanzas Supertanker Base</w:t>
      </w:r>
    </w:p>
    <w:p w14:paraId="1C26FD0E" w14:textId="534F9EA1" w:rsidR="009A6B33" w:rsidRPr="00B46C70" w:rsidRDefault="006B2AC1" w:rsidP="006B2AC1">
      <w:pPr>
        <w:pStyle w:val="CETBodytext"/>
      </w:pPr>
      <w:r w:rsidRPr="00B46C70">
        <w:t xml:space="preserve">Historical </w:t>
      </w:r>
      <w:r w:rsidR="00984DD7" w:rsidRPr="00B46C70">
        <w:t>evidence</w:t>
      </w:r>
      <w:r w:rsidR="00984DD7">
        <w:t xml:space="preserve"> </w:t>
      </w:r>
      <w:r w:rsidR="00984DD7" w:rsidRPr="00B46C70">
        <w:t>according</w:t>
      </w:r>
      <w:r w:rsidR="00984DD7">
        <w:t xml:space="preserve"> to </w:t>
      </w:r>
      <w:r w:rsidR="00AA2F13" w:rsidRPr="00B46C70">
        <w:t xml:space="preserve">Castro Rodríguez et al. </w:t>
      </w:r>
      <w:r w:rsidR="00984DD7">
        <w:t>(</w:t>
      </w:r>
      <w:r w:rsidR="00AA2F13" w:rsidRPr="00B46C70">
        <w:t xml:space="preserve">2024) </w:t>
      </w:r>
      <w:r w:rsidRPr="00B46C70">
        <w:t>shows that ignition scenarios—fires, explosions, or combined events—account for 87% of classifiable cases, with fires representing approximately two-thirds of the total</w:t>
      </w:r>
      <w:r w:rsidR="00847519">
        <w:t xml:space="preserve"> (64%)</w:t>
      </w:r>
      <w:r w:rsidRPr="00B46C70">
        <w:t xml:space="preserve">. This distribution is fully consistent with the final scenario observed in </w:t>
      </w:r>
      <w:r w:rsidR="000165A0">
        <w:t>the case study</w:t>
      </w:r>
      <w:r w:rsidRPr="00B46C70">
        <w:t xml:space="preserve">. Conditional analyses further indicate that </w:t>
      </w:r>
      <w:r w:rsidR="00D16939" w:rsidRPr="00B46C70">
        <w:t xml:space="preserve">a </w:t>
      </w:r>
      <w:r w:rsidRPr="00B46C70">
        <w:t xml:space="preserve">fire scenario is highly probable following a direct lightning strike to industrial </w:t>
      </w:r>
      <w:r w:rsidR="00A52CBD">
        <w:t>units</w:t>
      </w:r>
      <w:r w:rsidRPr="00B46C70">
        <w:t xml:space="preserve"> (S1), with</w:t>
      </w:r>
      <w:r w:rsidR="00D16939" w:rsidRPr="00B46C70">
        <w:t xml:space="preserve"> </w:t>
      </w:r>
      <w:r w:rsidRPr="00B46C70">
        <w:t>P(Fire</w:t>
      </w:r>
      <w:r w:rsidRPr="00B46C70">
        <w:rPr>
          <w:rFonts w:ascii="Cambria Math" w:hAnsi="Cambria Math" w:cs="Cambria Math"/>
        </w:rPr>
        <w:t>∣</w:t>
      </w:r>
      <w:r w:rsidRPr="00B46C70">
        <w:t>S1)</w:t>
      </w:r>
      <w:r w:rsidR="006923A6">
        <w:t xml:space="preserve"> </w:t>
      </w:r>
      <w:r w:rsidRPr="00B46C70">
        <w:t>=</w:t>
      </w:r>
      <w:r w:rsidR="006923A6">
        <w:t xml:space="preserve"> </w:t>
      </w:r>
      <w:r w:rsidRPr="00B46C70">
        <w:t>0.55. When severe structural damage with total inventory release occurs (DS2), the probability increases significantly (P(Fire</w:t>
      </w:r>
      <w:r w:rsidRPr="00B46C70">
        <w:rPr>
          <w:rFonts w:ascii="Cambria Math" w:hAnsi="Cambria Math" w:cs="Cambria Math"/>
        </w:rPr>
        <w:t>∣</w:t>
      </w:r>
      <w:r w:rsidRPr="00B46C70">
        <w:t>DS2)</w:t>
      </w:r>
      <w:r w:rsidR="006923A6">
        <w:t xml:space="preserve"> </w:t>
      </w:r>
      <w:r w:rsidRPr="00B46C70">
        <w:t>=</w:t>
      </w:r>
      <w:r w:rsidR="006923A6">
        <w:t xml:space="preserve"> </w:t>
      </w:r>
      <w:r w:rsidRPr="00B46C70">
        <w:t xml:space="preserve">0.76). This combined pattern closely reflects the sequence observed in </w:t>
      </w:r>
      <w:r w:rsidR="003D32EB">
        <w:t>t</w:t>
      </w:r>
      <w:r w:rsidRPr="00B46C70">
        <w:t xml:space="preserve">ank 52, where lightning </w:t>
      </w:r>
      <w:r w:rsidR="008F2851">
        <w:t>strike</w:t>
      </w:r>
      <w:r w:rsidRPr="00B46C70">
        <w:t>, structural damage, and total inventory combustion followed a highly recurrent historical trajectory.</w:t>
      </w:r>
      <w:r w:rsidR="008F2851">
        <w:t xml:space="preserve"> </w:t>
      </w:r>
      <w:r w:rsidR="00FC6256" w:rsidRPr="00FC6256">
        <w:t xml:space="preserve">Furthermore, </w:t>
      </w:r>
      <w:r w:rsidR="005427B2" w:rsidRPr="00FC6256">
        <w:t>regarding</w:t>
      </w:r>
      <w:r w:rsidR="00FC6256" w:rsidRPr="00FC6256">
        <w:t xml:space="preserve"> the analysis of the equipment involved—identified as the key functional variable in the vulnerability modeling—storage equipment exhibits the highest sensitivity to lightning among the eight industrial equipment classes, accounting for approximately 45% of the 127 classifiable historical records</w:t>
      </w:r>
      <w:r w:rsidRPr="00B46C70">
        <w:t xml:space="preserve">. </w:t>
      </w:r>
      <w:r w:rsidR="005843FC" w:rsidRPr="005843FC">
        <w:t xml:space="preserve">Bayesian conditional modeling further indicates that the probability of storage equipment </w:t>
      </w:r>
      <w:r w:rsidR="005843FC" w:rsidRPr="005843FC">
        <w:lastRenderedPageBreak/>
        <w:t>being impacted, given that the plant belongs to the “storage and warehousing” macro-sector, reaches 0.68, highlighting the intrinsic exposure of storage yards to lightning hazards.</w:t>
      </w:r>
      <w:r w:rsidRPr="00B46C70">
        <w:t xml:space="preserve"> Moreover, the probability of a fire scenario given that storage equipment </w:t>
      </w:r>
      <w:r w:rsidR="00235557">
        <w:t>was</w:t>
      </w:r>
      <w:r w:rsidRPr="00B46C70">
        <w:t xml:space="preserve"> struck is </w:t>
      </w:r>
      <w:proofErr w:type="gramStart"/>
      <w:r w:rsidRPr="00B46C70">
        <w:t>P(</w:t>
      </w:r>
      <w:proofErr w:type="spellStart"/>
      <w:proofErr w:type="gramEnd"/>
      <w:r w:rsidRPr="00B46C70">
        <w:t>Fire</w:t>
      </w:r>
      <w:r w:rsidRPr="00B46C70">
        <w:rPr>
          <w:rFonts w:ascii="Cambria Math" w:hAnsi="Cambria Math" w:cs="Cambria Math"/>
        </w:rPr>
        <w:t>∣</w:t>
      </w:r>
      <w:r w:rsidRPr="00B46C70">
        <w:t>Storage</w:t>
      </w:r>
      <w:proofErr w:type="spellEnd"/>
      <w:r w:rsidRPr="00B46C70">
        <w:t xml:space="preserve"> equipment)</w:t>
      </w:r>
      <w:r w:rsidR="006923A6">
        <w:t xml:space="preserve"> </w:t>
      </w:r>
      <w:r w:rsidRPr="00B46C70">
        <w:t>=</w:t>
      </w:r>
      <w:r w:rsidR="006923A6">
        <w:t xml:space="preserve"> </w:t>
      </w:r>
      <w:r w:rsidRPr="00B46C70">
        <w:t>0.67.</w:t>
      </w:r>
      <w:r w:rsidR="00235557">
        <w:t xml:space="preserve"> </w:t>
      </w:r>
      <w:r w:rsidRPr="00B46C70">
        <w:t xml:space="preserve">Overall, the Matanzas case </w:t>
      </w:r>
      <w:r w:rsidR="002B1C28" w:rsidRPr="002B1C28">
        <w:t xml:space="preserve">reflects recurring </w:t>
      </w:r>
      <w:proofErr w:type="spellStart"/>
      <w:r w:rsidR="002B1C28" w:rsidRPr="002B1C28">
        <w:t>NaTech</w:t>
      </w:r>
      <w:proofErr w:type="spellEnd"/>
      <w:r w:rsidR="002B1C28" w:rsidRPr="002B1C28">
        <w:t xml:space="preserve"> patterns, highlighting systemic vulnerability rather than an isolated incident.</w:t>
      </w:r>
    </w:p>
    <w:p w14:paraId="356FA4EB" w14:textId="73C739D8" w:rsidR="007F177C" w:rsidRPr="00B46C70" w:rsidRDefault="00F57C1D" w:rsidP="003F7D7A">
      <w:pPr>
        <w:pStyle w:val="CETheadingx"/>
        <w:rPr>
          <w:lang w:val="en-GB"/>
        </w:rPr>
      </w:pPr>
      <w:r>
        <w:t>Protective</w:t>
      </w:r>
      <w:r w:rsidR="003A5879" w:rsidRPr="00B46C70">
        <w:t xml:space="preserve"> </w:t>
      </w:r>
      <w:r w:rsidR="006D2764" w:rsidRPr="00B46C70">
        <w:t>capacity to withstand lightning-induced disruptions</w:t>
      </w:r>
    </w:p>
    <w:p w14:paraId="0D682CDD" w14:textId="12B96A72" w:rsidR="00EE034F" w:rsidRPr="00DA2B63" w:rsidRDefault="00EE034F" w:rsidP="00EE034F">
      <w:pPr>
        <w:pStyle w:val="CETBodytext"/>
      </w:pPr>
      <w:r w:rsidRPr="00E721B1">
        <w:t xml:space="preserve">Considering the territorial </w:t>
      </w:r>
      <w:r w:rsidR="007F4FCA" w:rsidRPr="00E721B1">
        <w:t xml:space="preserve">vulnerabilities </w:t>
      </w:r>
      <w:r w:rsidRPr="00E721B1">
        <w:t xml:space="preserve">discussed in Section 3.1, </w:t>
      </w:r>
      <w:r w:rsidR="006F35BA" w:rsidRPr="00E721B1">
        <w:t>then, l</w:t>
      </w:r>
      <w:r w:rsidRPr="00E721B1">
        <w:t xml:space="preserve">ightning </w:t>
      </w:r>
      <w:r w:rsidR="006F35BA" w:rsidRPr="00E721B1">
        <w:t>p</w:t>
      </w:r>
      <w:r w:rsidRPr="00E721B1">
        <w:t xml:space="preserve">rotection </w:t>
      </w:r>
      <w:r w:rsidR="006F35BA" w:rsidRPr="00E721B1">
        <w:t>l</w:t>
      </w:r>
      <w:r w:rsidRPr="00E721B1">
        <w:t xml:space="preserve">evels (LPL) I–II are typically required. However, as highlighted in Section 3.2, facilities involving </w:t>
      </w:r>
      <w:r w:rsidR="00DD513B" w:rsidRPr="00E721B1">
        <w:t xml:space="preserve">major </w:t>
      </w:r>
      <w:r w:rsidR="00333700">
        <w:t>infrastructure with</w:t>
      </w:r>
      <w:r w:rsidR="00DD513B" w:rsidRPr="00E721B1">
        <w:t xml:space="preserve"> hazardous inventories</w:t>
      </w:r>
      <w:r w:rsidRPr="00E721B1">
        <w:t xml:space="preserve"> require the most stringent protection levels in critical areas, in accordance with </w:t>
      </w:r>
      <w:r w:rsidR="003201EC" w:rsidRPr="00E721B1">
        <w:t xml:space="preserve">NC IEC </w:t>
      </w:r>
      <w:r w:rsidR="00B52FA3" w:rsidRPr="00B52FA3">
        <w:t>62305-3</w:t>
      </w:r>
      <w:r w:rsidR="00B52FA3">
        <w:t xml:space="preserve"> (</w:t>
      </w:r>
      <w:r w:rsidR="00B52FA3" w:rsidRPr="00B52FA3">
        <w:t>2016</w:t>
      </w:r>
      <w:r w:rsidR="00B52FA3">
        <w:t>)</w:t>
      </w:r>
      <w:r w:rsidRPr="00E721B1">
        <w:t>.</w:t>
      </w:r>
      <w:r w:rsidR="00847D60">
        <w:t xml:space="preserve"> </w:t>
      </w:r>
      <w:r w:rsidRPr="00E721B1">
        <w:t>A conventional Lightning Protection System (LPS) comprises air-termination systems (e.g., Franklin rods, early streamer emission devices, or meshed conductors), down conductors, grounding systems, surge protective devices (SPD), and equipotential bonding measures</w:t>
      </w:r>
      <w:r w:rsidR="007635E2">
        <w:t>, w</w:t>
      </w:r>
      <w:r w:rsidR="00B423FD">
        <w:t xml:space="preserve">hich </w:t>
      </w:r>
      <w:r w:rsidRPr="00E721B1">
        <w:t>require periodic inspection</w:t>
      </w:r>
      <w:r w:rsidR="007635E2">
        <w:t>s</w:t>
      </w:r>
      <w:r w:rsidRPr="00E721B1">
        <w:t>.</w:t>
      </w:r>
      <w:r w:rsidR="003239C6">
        <w:t xml:space="preserve"> </w:t>
      </w:r>
      <w:r w:rsidRPr="00DA2B63">
        <w:t xml:space="preserve">For ignition to occur, the lightning </w:t>
      </w:r>
      <w:r w:rsidR="00DE4C64" w:rsidRPr="00DA2B63">
        <w:t>strike</w:t>
      </w:r>
      <w:r w:rsidRPr="00DA2B63">
        <w:t xml:space="preserve"> or its secondary effects must </w:t>
      </w:r>
      <w:r w:rsidR="001C1EA9" w:rsidRPr="00DA2B63">
        <w:t>be coupled</w:t>
      </w:r>
      <w:r w:rsidRPr="00DA2B63">
        <w:t xml:space="preserve"> with a flammable mixture. </w:t>
      </w:r>
      <w:r w:rsidR="007E5B49" w:rsidRPr="00DA2B63">
        <w:t xml:space="preserve">In dome-roof storage tanks, air-termination systems are often installed above the dome structure. The </w:t>
      </w:r>
      <w:r w:rsidR="00333700">
        <w:t>aluminum</w:t>
      </w:r>
      <w:r w:rsidR="007E5B49" w:rsidRPr="00DA2B63">
        <w:t xml:space="preserve"> dome itself may provide a Faraday cage effect, potentially acting as a secondary protective barrier, provided no flammable vapor–air mixture is present externally. Under ideal sealing conditions, the structural shell can therefore reduce the probability of direct ignition. </w:t>
      </w:r>
      <w:r w:rsidRPr="00DA2B63">
        <w:t>Loss of tight sealing—due to maintenance operations, mechanical damage, or venting system malfunction—may create explosive atmospheres.</w:t>
      </w:r>
    </w:p>
    <w:p w14:paraId="50575035" w14:textId="529BFB31" w:rsidR="00362F5A" w:rsidRPr="00DA2B63" w:rsidRDefault="00EE034F" w:rsidP="00EE034F">
      <w:pPr>
        <w:pStyle w:val="CETBodytext"/>
      </w:pPr>
      <w:r w:rsidRPr="00DA2B63">
        <w:t>From a causal perspective, several technical failure mechanisms can be considered:</w:t>
      </w:r>
      <w:r w:rsidR="008E72B8" w:rsidRPr="00DA2B63">
        <w:t xml:space="preserve"> </w:t>
      </w:r>
      <w:proofErr w:type="spellStart"/>
      <w:r w:rsidR="008E72B8" w:rsidRPr="00DA2B63">
        <w:t>i</w:t>
      </w:r>
      <w:proofErr w:type="spellEnd"/>
      <w:r w:rsidR="008E72B8" w:rsidRPr="00DA2B63">
        <w:t xml:space="preserve">) </w:t>
      </w:r>
      <w:r w:rsidRPr="00DA2B63">
        <w:t>degradation or discontinuity of the grounding system</w:t>
      </w:r>
      <w:r w:rsidR="008E72B8" w:rsidRPr="00DA2B63">
        <w:t xml:space="preserve">; ii) </w:t>
      </w:r>
      <w:r w:rsidRPr="00DA2B63">
        <w:t xml:space="preserve">insufficient equipotential </w:t>
      </w:r>
      <w:r w:rsidR="00333700">
        <w:t>bonding; iii)</w:t>
      </w:r>
      <w:r w:rsidR="0068462F" w:rsidRPr="00DA2B63">
        <w:t xml:space="preserve"> </w:t>
      </w:r>
      <w:r w:rsidRPr="00DA2B63">
        <w:t xml:space="preserve">compromised dome sealing </w:t>
      </w:r>
      <w:r w:rsidR="0068462F" w:rsidRPr="00DA2B63">
        <w:t xml:space="preserve">due to maintenance activities </w:t>
      </w:r>
      <w:r w:rsidRPr="00DA2B63">
        <w:t xml:space="preserve">leading to vapor </w:t>
      </w:r>
      <w:r w:rsidR="00333700">
        <w:t>exposition; and iv)</w:t>
      </w:r>
      <w:r w:rsidR="00217D80" w:rsidRPr="00DA2B63">
        <w:t xml:space="preserve"> </w:t>
      </w:r>
      <w:r w:rsidRPr="00DA2B63">
        <w:t>indirect lightning current propagation through instrumentation or sensor cabling.</w:t>
      </w:r>
      <w:r w:rsidR="00217D80" w:rsidRPr="00DA2B63">
        <w:t xml:space="preserve"> </w:t>
      </w:r>
      <w:r w:rsidR="002A399A" w:rsidRPr="00DA2B63">
        <w:t>Overall, in the absence of evidence of a single-point failure, the event is better understood as the outcome of interacting factors.</w:t>
      </w:r>
      <w:r w:rsidRPr="00DA2B63">
        <w:t xml:space="preserve"> </w:t>
      </w:r>
      <w:r w:rsidR="00B50CBC" w:rsidRPr="00DA2B63">
        <w:t>This systemic perspective coherently aligns with the causal pathways identified in the ignition-source branch of the fishbone diagram.</w:t>
      </w:r>
    </w:p>
    <w:p w14:paraId="5E820255" w14:textId="3085607A" w:rsidR="00362F5A" w:rsidRPr="00DA2B63" w:rsidRDefault="0093623F" w:rsidP="00403A8C">
      <w:pPr>
        <w:pStyle w:val="CETBodytext"/>
      </w:pPr>
      <w:r w:rsidRPr="00DA2B63">
        <w:t xml:space="preserve">From a barrier failure perspective, the active fire protection system (FPS) functioned as a mitigation barrier intended to limit thermal escalation following ignition. Its safety function comprised two coupled </w:t>
      </w:r>
      <w:r w:rsidR="00302ED5">
        <w:t>mechanisms: (</w:t>
      </w:r>
      <w:proofErr w:type="spellStart"/>
      <w:r w:rsidR="00302ED5">
        <w:t>i</w:t>
      </w:r>
      <w:proofErr w:type="spellEnd"/>
      <w:r w:rsidR="00302ED5">
        <w:t>)</w:t>
      </w:r>
      <w:r w:rsidRPr="00DA2B63">
        <w:t xml:space="preserve"> structural cooling to prevent tank failure and domino </w:t>
      </w:r>
      <w:r w:rsidR="00302ED5">
        <w:t>effects and</w:t>
      </w:r>
      <w:r w:rsidRPr="00DA2B63">
        <w:t xml:space="preserve"> (ii) foam-based extinguishment to suppress </w:t>
      </w:r>
      <w:r w:rsidR="00302ED5">
        <w:t xml:space="preserve">combustion. </w:t>
      </w:r>
      <w:r w:rsidRPr="00DA2B63">
        <w:t xml:space="preserve">The fishbone structure identifies a progressive degradation pathway within this barrier. At the root level, insufficient water storage capacity and limited pumping capacity constrained the system hydraulic reliability. Because pumping demand exceeded water accumulation rates, the system operated in intermittent cycles, leading to frequent shutdowns. These interruptions reduced cooling continuity, resulting in degraded thermal control capacity. Consequently, foam injection was delayed or could not be sustained, particularly in </w:t>
      </w:r>
      <w:r w:rsidR="00A36A1D" w:rsidRPr="00DA2B63">
        <w:t xml:space="preserve">tank </w:t>
      </w:r>
      <w:r w:rsidR="00302ED5">
        <w:t xml:space="preserve">52. </w:t>
      </w:r>
      <w:r w:rsidRPr="00DA2B63">
        <w:t xml:space="preserve">In barrier theory terms, this does not represent an instantaneous failure but a capacity exceedance mechanism. </w:t>
      </w:r>
      <w:r w:rsidR="00650D70" w:rsidRPr="00DA2B63">
        <w:t>It was recognized by the authorities that t</w:t>
      </w:r>
      <w:r w:rsidRPr="00DA2B63">
        <w:t xml:space="preserve">he FPS </w:t>
      </w:r>
      <w:r w:rsidR="00650D70" w:rsidRPr="00DA2B63">
        <w:t xml:space="preserve">at </w:t>
      </w:r>
      <w:r w:rsidR="00302ED5">
        <w:t>the Supertanker</w:t>
      </w:r>
      <w:r w:rsidR="00650D70" w:rsidRPr="00DA2B63">
        <w:t xml:space="preserve"> base of </w:t>
      </w:r>
      <w:r w:rsidR="00302ED5">
        <w:t>Matanzas was</w:t>
      </w:r>
      <w:r w:rsidRPr="00DA2B63">
        <w:t xml:space="preserve"> </w:t>
      </w:r>
      <w:r w:rsidR="00F84761" w:rsidRPr="00DA2B63">
        <w:t>validated</w:t>
      </w:r>
      <w:r w:rsidRPr="00DA2B63">
        <w:t xml:space="preserve"> for a bounded fire scenario (approximately three hours), whereas the </w:t>
      </w:r>
      <w:r w:rsidR="00F84761" w:rsidRPr="00DA2B63">
        <w:t>analyzed</w:t>
      </w:r>
      <w:r w:rsidRPr="00DA2B63">
        <w:t xml:space="preserve"> event evolved into a prolonged, high-intensity exposure lasting several days. </w:t>
      </w:r>
      <w:r w:rsidR="007D4ACA" w:rsidRPr="00DA2B63">
        <w:t xml:space="preserve">Additionally, </w:t>
      </w:r>
      <w:r w:rsidR="005D0F25" w:rsidRPr="00DA2B63">
        <w:t>the event evolved under multi-hazard interaction</w:t>
      </w:r>
      <w:r w:rsidR="00351CBD" w:rsidRPr="00DA2B63">
        <w:t xml:space="preserve"> due to a change in </w:t>
      </w:r>
      <w:r w:rsidR="003876B3" w:rsidRPr="00DA2B63">
        <w:t>the direction</w:t>
      </w:r>
      <w:r w:rsidR="00351CBD" w:rsidRPr="00DA2B63">
        <w:t xml:space="preserve"> of</w:t>
      </w:r>
      <w:r w:rsidR="005D0F25" w:rsidRPr="00DA2B63">
        <w:t xml:space="preserve"> </w:t>
      </w:r>
      <w:r w:rsidR="00302ED5">
        <w:t>wind, which</w:t>
      </w:r>
      <w:r w:rsidR="005D0F25" w:rsidRPr="00DA2B63">
        <w:t xml:space="preserve"> contributed to fire intensification and flame tilting, thereby amplifying </w:t>
      </w:r>
      <w:r w:rsidR="009030B6">
        <w:t xml:space="preserve">the </w:t>
      </w:r>
      <w:r w:rsidR="005D0F25" w:rsidRPr="00DA2B63">
        <w:t>escalation potential.</w:t>
      </w:r>
      <w:r w:rsidR="00E7033E" w:rsidRPr="00DA2B63">
        <w:t xml:space="preserve"> </w:t>
      </w:r>
      <w:r w:rsidR="00285634" w:rsidRPr="00285634">
        <w:t>Accordingly, the escalation is best understood as progressive barrier degradation and saturation under extreme demand, rather than a single mechanical failure.</w:t>
      </w:r>
    </w:p>
    <w:p w14:paraId="1F96CA21" w14:textId="60DC452E" w:rsidR="00600535" w:rsidRPr="00B57B36" w:rsidRDefault="006A3DD0" w:rsidP="00FA5F5F">
      <w:pPr>
        <w:pStyle w:val="CETheadingx"/>
      </w:pPr>
      <w:r>
        <w:t>Emergency</w:t>
      </w:r>
      <w:r w:rsidR="00E2340F">
        <w:t xml:space="preserve"> response</w:t>
      </w:r>
    </w:p>
    <w:p w14:paraId="7A2B5251" w14:textId="6D38C63B" w:rsidR="00FF57C8" w:rsidRPr="00FF57C8" w:rsidRDefault="00224055" w:rsidP="00FF57C8">
      <w:pPr>
        <w:pStyle w:val="CETBodytext"/>
        <w:rPr>
          <w:lang w:val="en-GB"/>
        </w:rPr>
      </w:pPr>
      <w:r w:rsidRPr="00224055">
        <w:rPr>
          <w:lang w:val="en-GB"/>
        </w:rPr>
        <w:t xml:space="preserve">Since 2013, Cuba has maintained a regulatory framework governing safety management in major hazard installations handling hazardous chemicals. </w:t>
      </w:r>
      <w:r w:rsidR="00FF57C8" w:rsidRPr="00FF57C8">
        <w:rPr>
          <w:lang w:val="en-GB"/>
        </w:rPr>
        <w:t xml:space="preserve">Within the established legal framework, emergency response constitutes </w:t>
      </w:r>
      <w:r w:rsidR="00286A48">
        <w:rPr>
          <w:lang w:val="en-GB"/>
        </w:rPr>
        <w:t>a</w:t>
      </w:r>
      <w:r w:rsidR="00FF57C8" w:rsidRPr="00FF57C8">
        <w:rPr>
          <w:lang w:val="en-GB"/>
        </w:rPr>
        <w:t xml:space="preserve"> component of system preparedness. However, given the absence of public access to the Safety Report, predefined emergency scenarios, intervention thresholds, and resource adequacy assumptions cannot be externally verified. Therefore, the evaluation of response effectiveness must rely on observed dynamics.</w:t>
      </w:r>
    </w:p>
    <w:p w14:paraId="5B9B8DD9" w14:textId="49A17612" w:rsidR="00FF57C8" w:rsidRPr="00FF57C8" w:rsidRDefault="00FF57C8" w:rsidP="00FF57C8">
      <w:pPr>
        <w:pStyle w:val="CETBodytext"/>
        <w:rPr>
          <w:lang w:val="en-GB"/>
        </w:rPr>
      </w:pPr>
      <w:r w:rsidRPr="00FF57C8">
        <w:rPr>
          <w:lang w:val="en-GB"/>
        </w:rPr>
        <w:t>Considering the magnitude and rapid escalation of the accident, several corrective and adaptive measures were implemented</w:t>
      </w:r>
      <w:r w:rsidR="00432451">
        <w:rPr>
          <w:lang w:val="en-GB"/>
        </w:rPr>
        <w:t>,</w:t>
      </w:r>
      <w:r w:rsidRPr="00FF57C8">
        <w:rPr>
          <w:lang w:val="en-GB"/>
        </w:rPr>
        <w:t xml:space="preserve"> </w:t>
      </w:r>
      <w:r w:rsidR="00432451" w:rsidRPr="00FF57C8">
        <w:rPr>
          <w:lang w:val="en-GB"/>
        </w:rPr>
        <w:t>illustrat</w:t>
      </w:r>
      <w:r w:rsidR="00432451">
        <w:rPr>
          <w:lang w:val="en-GB"/>
        </w:rPr>
        <w:t xml:space="preserve">ing </w:t>
      </w:r>
      <w:r w:rsidR="00432451" w:rsidRPr="00FF57C8">
        <w:rPr>
          <w:lang w:val="en-GB"/>
        </w:rPr>
        <w:t>the system attempt to expand its operational capacity beyond initial internal resources</w:t>
      </w:r>
      <w:r w:rsidR="00432451">
        <w:rPr>
          <w:lang w:val="en-GB"/>
        </w:rPr>
        <w:t xml:space="preserve">. </w:t>
      </w:r>
      <w:r w:rsidR="00C61FF0" w:rsidRPr="00C61FF0">
        <w:rPr>
          <w:lang w:val="en-GB"/>
        </w:rPr>
        <w:t xml:space="preserve">Despite the significant response efforts, the severity of the event revealed limitations in emergency response capacity, which functioned as a tertiary mitigation barrier after the degradation of technical protection systems. The loss of 16 </w:t>
      </w:r>
      <w:r w:rsidR="00355BE6" w:rsidRPr="00C61FF0">
        <w:rPr>
          <w:lang w:val="en-GB"/>
        </w:rPr>
        <w:t>firefighters’</w:t>
      </w:r>
      <w:r w:rsidR="005427B2">
        <w:rPr>
          <w:lang w:val="en-GB"/>
        </w:rPr>
        <w:t xml:space="preserve"> </w:t>
      </w:r>
      <w:r w:rsidR="00B97C39">
        <w:rPr>
          <w:lang w:val="en-GB"/>
        </w:rPr>
        <w:t xml:space="preserve">life </w:t>
      </w:r>
      <w:r w:rsidR="00C61FF0" w:rsidRPr="00C61FF0">
        <w:rPr>
          <w:lang w:val="en-GB"/>
        </w:rPr>
        <w:t xml:space="preserve">highlights the challenges faced by external responders confronting complex </w:t>
      </w:r>
      <w:proofErr w:type="spellStart"/>
      <w:r w:rsidR="00C61FF0" w:rsidRPr="00C61FF0">
        <w:rPr>
          <w:lang w:val="en-GB"/>
        </w:rPr>
        <w:t>NaTech</w:t>
      </w:r>
      <w:proofErr w:type="spellEnd"/>
      <w:r w:rsidR="00C61FF0" w:rsidRPr="00C61FF0">
        <w:rPr>
          <w:lang w:val="en-GB"/>
        </w:rPr>
        <w:t xml:space="preserve"> conditions. Notably, part of the brigade consisted of young conscripts (18–27 years old) performing mandatory military service, many of whom had limited prior firefighting experience and were mobilized under emergency circumstances.</w:t>
      </w:r>
      <w:r w:rsidR="001306A9">
        <w:rPr>
          <w:lang w:val="en-GB"/>
        </w:rPr>
        <w:t xml:space="preserve"> </w:t>
      </w:r>
      <w:r w:rsidR="001306A9" w:rsidRPr="001306A9">
        <w:rPr>
          <w:lang w:val="en-GB"/>
        </w:rPr>
        <w:t>Quantitative estimat</w:t>
      </w:r>
      <w:r w:rsidR="009471D6">
        <w:rPr>
          <w:lang w:val="en-GB"/>
        </w:rPr>
        <w:t>ion</w:t>
      </w:r>
      <w:r w:rsidR="001306A9" w:rsidRPr="001306A9">
        <w:rPr>
          <w:lang w:val="en-GB"/>
        </w:rPr>
        <w:t xml:space="preserve"> (~70 kW/m²) indicate</w:t>
      </w:r>
      <w:r w:rsidR="00FC5343">
        <w:rPr>
          <w:lang w:val="en-GB"/>
        </w:rPr>
        <w:t>s critical</w:t>
      </w:r>
      <w:r w:rsidR="001306A9" w:rsidRPr="001306A9">
        <w:rPr>
          <w:lang w:val="en-GB"/>
        </w:rPr>
        <w:t xml:space="preserve"> exposure levels exceeding both human survivability and firefighter PPE protective envelopes within seconds. Probit analysis confirms that such flux levels correspond to near-certain fatality for short </w:t>
      </w:r>
      <w:r w:rsidR="00DF1E3D">
        <w:rPr>
          <w:lang w:val="en-GB"/>
        </w:rPr>
        <w:t xml:space="preserve">seconds of </w:t>
      </w:r>
      <w:r w:rsidR="001306A9" w:rsidRPr="001306A9">
        <w:rPr>
          <w:lang w:val="en-GB"/>
        </w:rPr>
        <w:t xml:space="preserve">exposure durations, </w:t>
      </w:r>
      <w:r w:rsidR="00B47F23" w:rsidRPr="00B47F23">
        <w:rPr>
          <w:lang w:val="en-GB"/>
        </w:rPr>
        <w:t>under idealized conditions, and substantially faster under combined radiation–convection–wind coupling</w:t>
      </w:r>
      <w:r w:rsidR="00B47F23">
        <w:rPr>
          <w:lang w:val="en-GB"/>
        </w:rPr>
        <w:t xml:space="preserve">, </w:t>
      </w:r>
      <w:r w:rsidR="001306A9" w:rsidRPr="001306A9">
        <w:rPr>
          <w:lang w:val="en-GB"/>
        </w:rPr>
        <w:t xml:space="preserve">consistent with the </w:t>
      </w:r>
      <w:r w:rsidR="00F110AF">
        <w:rPr>
          <w:lang w:val="en-GB"/>
        </w:rPr>
        <w:t xml:space="preserve">criteria of </w:t>
      </w:r>
      <w:proofErr w:type="spellStart"/>
      <w:r w:rsidR="00491517" w:rsidRPr="003D244B">
        <w:t>Khakzad</w:t>
      </w:r>
      <w:proofErr w:type="spellEnd"/>
      <w:r w:rsidR="00491517" w:rsidRPr="003D244B">
        <w:t xml:space="preserve"> (2023)</w:t>
      </w:r>
      <w:r w:rsidR="00135ABC">
        <w:t>.</w:t>
      </w:r>
      <w:r w:rsidR="001C5D3D">
        <w:t xml:space="preserve"> </w:t>
      </w:r>
      <w:r w:rsidR="001C5D3D" w:rsidRPr="001C5D3D">
        <w:rPr>
          <w:lang w:val="en-GB"/>
        </w:rPr>
        <w:t xml:space="preserve">Therefore, the loss of personnel is consistent with exposure beyond human and equipment resilience limits rather than solely with tactical </w:t>
      </w:r>
      <w:r w:rsidR="005427B2">
        <w:rPr>
          <w:lang w:val="en-GB"/>
        </w:rPr>
        <w:t>misjudgement</w:t>
      </w:r>
      <w:r w:rsidR="003652CA">
        <w:rPr>
          <w:lang w:val="en-GB"/>
        </w:rPr>
        <w:t>.</w:t>
      </w:r>
    </w:p>
    <w:p w14:paraId="68D26B83" w14:textId="77777777" w:rsidR="00600535" w:rsidRPr="00B57B36" w:rsidRDefault="00600535" w:rsidP="00600535">
      <w:pPr>
        <w:pStyle w:val="CETHeading1"/>
        <w:rPr>
          <w:lang w:val="en-GB"/>
        </w:rPr>
      </w:pPr>
      <w:r w:rsidRPr="00B57B36">
        <w:rPr>
          <w:lang w:val="en-GB"/>
        </w:rPr>
        <w:lastRenderedPageBreak/>
        <w:t>Conclusions</w:t>
      </w:r>
    </w:p>
    <w:p w14:paraId="52DAFDE0" w14:textId="5F2A3393" w:rsidR="001D0CFB" w:rsidRDefault="00C651BC" w:rsidP="00600535">
      <w:pPr>
        <w:pStyle w:val="CETBodytext"/>
        <w:rPr>
          <w:lang w:val="en-GB"/>
        </w:rPr>
      </w:pPr>
      <w:r w:rsidRPr="00C651BC">
        <w:rPr>
          <w:lang w:val="en-GB"/>
        </w:rPr>
        <w:t xml:space="preserve">This work reflects on the lightning-triggered </w:t>
      </w:r>
      <w:proofErr w:type="spellStart"/>
      <w:r w:rsidRPr="00C651BC">
        <w:rPr>
          <w:lang w:val="en-GB"/>
        </w:rPr>
        <w:t>NaTech</w:t>
      </w:r>
      <w:proofErr w:type="spellEnd"/>
      <w:r w:rsidRPr="00C651BC">
        <w:rPr>
          <w:lang w:val="en-GB"/>
        </w:rPr>
        <w:t xml:space="preserve"> accident at the </w:t>
      </w:r>
      <w:proofErr w:type="spellStart"/>
      <w:r w:rsidRPr="00C651BC">
        <w:rPr>
          <w:lang w:val="en-GB"/>
        </w:rPr>
        <w:t>Supertanker</w:t>
      </w:r>
      <w:proofErr w:type="spellEnd"/>
      <w:r w:rsidRPr="00C651BC">
        <w:rPr>
          <w:lang w:val="en-GB"/>
        </w:rPr>
        <w:t xml:space="preserve"> Base of Matanzas, Cuba, applying a novel analytical approach that embeds resilience-based stages, stratified vulnerability analysis, and barrier performance evaluation within a unified fishbone framework for multi-hazard causal assessment. The event is therefore interpreted not as a</w:t>
      </w:r>
      <w:r w:rsidR="000E6395">
        <w:rPr>
          <w:lang w:val="en-GB"/>
        </w:rPr>
        <w:t xml:space="preserve"> </w:t>
      </w:r>
      <w:r w:rsidR="001A3197">
        <w:rPr>
          <w:lang w:val="en-GB"/>
        </w:rPr>
        <w:t xml:space="preserve">casual </w:t>
      </w:r>
      <w:r w:rsidR="000E6395" w:rsidRPr="000E6395">
        <w:rPr>
          <w:lang w:val="en-GB"/>
        </w:rPr>
        <w:t xml:space="preserve">black swan </w:t>
      </w:r>
      <w:r w:rsidR="000E6395">
        <w:rPr>
          <w:lang w:val="en-GB"/>
        </w:rPr>
        <w:t xml:space="preserve">or </w:t>
      </w:r>
      <w:r w:rsidR="0034560C">
        <w:rPr>
          <w:lang w:val="en-GB"/>
        </w:rPr>
        <w:t>unlucky</w:t>
      </w:r>
      <w:r w:rsidR="0029005C" w:rsidRPr="0029005C">
        <w:rPr>
          <w:lang w:val="en-GB"/>
        </w:rPr>
        <w:t xml:space="preserve"> </w:t>
      </w:r>
      <w:r w:rsidR="0034560C">
        <w:rPr>
          <w:lang w:val="en-GB"/>
        </w:rPr>
        <w:t>episode</w:t>
      </w:r>
      <w:r w:rsidRPr="00C651BC">
        <w:rPr>
          <w:lang w:val="en-GB"/>
        </w:rPr>
        <w:t xml:space="preserve">, but as a systemic resilience breakdown under compounded hazard stress, in which anticipation, absorptive capacity, mitigation performance, and emergency response margins were progressively exceeded. Although protective and response systems remained operational, they functioned beyond their design and human performance envelopes, resulting in catastrophic escalation. </w:t>
      </w:r>
      <w:r w:rsidR="00A42ECE" w:rsidRPr="00A42ECE">
        <w:rPr>
          <w:lang w:val="en-GB"/>
        </w:rPr>
        <w:t xml:space="preserve">These integrated causalities offer actionable insights to enhance process facility resilience to </w:t>
      </w:r>
      <w:proofErr w:type="spellStart"/>
      <w:r w:rsidR="00A42ECE" w:rsidRPr="00A42ECE">
        <w:rPr>
          <w:lang w:val="en-GB"/>
        </w:rPr>
        <w:t>NaTech</w:t>
      </w:r>
      <w:proofErr w:type="spellEnd"/>
      <w:r w:rsidR="00A42ECE" w:rsidRPr="00A42ECE">
        <w:rPr>
          <w:lang w:val="en-GB"/>
        </w:rPr>
        <w:t xml:space="preserve"> events, especially under potential climate change impacts.</w:t>
      </w:r>
    </w:p>
    <w:p w14:paraId="0ED1CC79" w14:textId="77777777" w:rsidR="000E64EB" w:rsidRPr="0082138D" w:rsidRDefault="000E64EB" w:rsidP="000E64EB">
      <w:pPr>
        <w:pStyle w:val="CETReference"/>
      </w:pPr>
      <w:r w:rsidRPr="0082138D">
        <w:t>Acknowledgments</w:t>
      </w:r>
    </w:p>
    <w:p w14:paraId="219E05E4" w14:textId="1FFBAFEF" w:rsidR="000E64EB" w:rsidRPr="00E54BD7" w:rsidRDefault="00560460" w:rsidP="000E64EB">
      <w:pPr>
        <w:pStyle w:val="CETReference"/>
        <w:rPr>
          <w:b w:val="0"/>
        </w:rPr>
      </w:pPr>
      <w:r w:rsidRPr="00560460">
        <w:rPr>
          <w:b w:val="0"/>
        </w:rPr>
        <w:t>In memory of the victims and those who mourn their loss.</w:t>
      </w:r>
    </w:p>
    <w:p w14:paraId="4F1327F8" w14:textId="7F829F38" w:rsidR="00600535" w:rsidRPr="00E54BD7" w:rsidRDefault="00600535" w:rsidP="00600535">
      <w:pPr>
        <w:pStyle w:val="CETReference"/>
        <w:rPr>
          <w:lang w:val="es-ES"/>
        </w:rPr>
      </w:pPr>
      <w:proofErr w:type="spellStart"/>
      <w:r w:rsidRPr="00E54BD7">
        <w:rPr>
          <w:lang w:val="es-ES"/>
        </w:rPr>
        <w:t>References</w:t>
      </w:r>
      <w:proofErr w:type="spellEnd"/>
    </w:p>
    <w:p w14:paraId="71999639" w14:textId="328A8117" w:rsidR="008D7C24" w:rsidRPr="00E54BD7" w:rsidRDefault="008D7C24" w:rsidP="00047B51">
      <w:pPr>
        <w:pStyle w:val="CETReferencetext"/>
        <w:rPr>
          <w:lang w:val="es-ES"/>
        </w:rPr>
      </w:pPr>
      <w:r w:rsidRPr="00E54BD7">
        <w:rPr>
          <w:lang w:val="es-ES"/>
        </w:rPr>
        <w:t xml:space="preserve">Álvarez-Escudero, L., Borrajero-Montejo, I., 2020, </w:t>
      </w:r>
      <w:r w:rsidR="002F26EB" w:rsidRPr="00E54BD7">
        <w:rPr>
          <w:lang w:val="es-ES"/>
        </w:rPr>
        <w:t xml:space="preserve">Actualización del mapa de niveles </w:t>
      </w:r>
      <w:proofErr w:type="spellStart"/>
      <w:r w:rsidR="002F26EB" w:rsidRPr="00E54BD7">
        <w:rPr>
          <w:lang w:val="es-ES"/>
        </w:rPr>
        <w:t>ceráunicos</w:t>
      </w:r>
      <w:proofErr w:type="spellEnd"/>
      <w:r w:rsidR="002F26EB" w:rsidRPr="00E54BD7">
        <w:rPr>
          <w:lang w:val="es-ES"/>
        </w:rPr>
        <w:t xml:space="preserve"> de Cuba [</w:t>
      </w:r>
      <w:proofErr w:type="spellStart"/>
      <w:r w:rsidR="002F26EB" w:rsidRPr="00E54BD7">
        <w:rPr>
          <w:lang w:val="es-ES"/>
        </w:rPr>
        <w:t>An</w:t>
      </w:r>
      <w:proofErr w:type="spellEnd"/>
      <w:r w:rsidR="002F26EB" w:rsidRPr="00E54BD7">
        <w:rPr>
          <w:lang w:val="es-ES"/>
        </w:rPr>
        <w:t xml:space="preserve"> </w:t>
      </w:r>
      <w:proofErr w:type="spellStart"/>
      <w:r w:rsidR="002F26EB" w:rsidRPr="00E54BD7">
        <w:rPr>
          <w:lang w:val="es-ES"/>
        </w:rPr>
        <w:t>Update</w:t>
      </w:r>
      <w:proofErr w:type="spellEnd"/>
      <w:r w:rsidR="002F26EB" w:rsidRPr="00E54BD7">
        <w:rPr>
          <w:lang w:val="es-ES"/>
        </w:rPr>
        <w:t xml:space="preserve"> </w:t>
      </w:r>
      <w:proofErr w:type="spellStart"/>
      <w:r w:rsidR="002F26EB" w:rsidRPr="00E54BD7">
        <w:rPr>
          <w:lang w:val="es-ES"/>
        </w:rPr>
        <w:t>of</w:t>
      </w:r>
      <w:proofErr w:type="spellEnd"/>
      <w:r w:rsidR="002F26EB" w:rsidRPr="00E54BD7">
        <w:rPr>
          <w:lang w:val="es-ES"/>
        </w:rPr>
        <w:t xml:space="preserve"> </w:t>
      </w:r>
      <w:proofErr w:type="spellStart"/>
      <w:r w:rsidRPr="00E54BD7">
        <w:rPr>
          <w:lang w:val="es-ES"/>
        </w:rPr>
        <w:t>the</w:t>
      </w:r>
      <w:proofErr w:type="spellEnd"/>
      <w:r w:rsidRPr="00E54BD7">
        <w:rPr>
          <w:lang w:val="es-ES"/>
        </w:rPr>
        <w:t xml:space="preserve"> </w:t>
      </w:r>
      <w:proofErr w:type="spellStart"/>
      <w:r w:rsidRPr="00E54BD7">
        <w:rPr>
          <w:lang w:val="es-ES"/>
        </w:rPr>
        <w:t>keraunic</w:t>
      </w:r>
      <w:proofErr w:type="spellEnd"/>
      <w:r w:rsidRPr="00E54BD7">
        <w:rPr>
          <w:lang w:val="es-ES"/>
        </w:rPr>
        <w:t xml:space="preserve"> </w:t>
      </w:r>
      <w:proofErr w:type="spellStart"/>
      <w:r w:rsidR="002F26EB" w:rsidRPr="00E54BD7">
        <w:rPr>
          <w:lang w:val="es-ES"/>
        </w:rPr>
        <w:t>map</w:t>
      </w:r>
      <w:proofErr w:type="spellEnd"/>
      <w:r w:rsidR="002F26EB" w:rsidRPr="00E54BD7">
        <w:rPr>
          <w:lang w:val="es-ES"/>
        </w:rPr>
        <w:t xml:space="preserve"> </w:t>
      </w:r>
      <w:proofErr w:type="spellStart"/>
      <w:r w:rsidRPr="00E54BD7">
        <w:rPr>
          <w:lang w:val="es-ES"/>
        </w:rPr>
        <w:t>of</w:t>
      </w:r>
      <w:proofErr w:type="spellEnd"/>
      <w:r w:rsidRPr="00E54BD7">
        <w:rPr>
          <w:lang w:val="es-ES"/>
        </w:rPr>
        <w:t xml:space="preserve"> Cuba</w:t>
      </w:r>
      <w:r w:rsidR="002F26EB" w:rsidRPr="00E54BD7">
        <w:rPr>
          <w:lang w:val="es-ES"/>
        </w:rPr>
        <w:t>]</w:t>
      </w:r>
      <w:r w:rsidRPr="00E54BD7">
        <w:rPr>
          <w:lang w:val="es-ES"/>
        </w:rPr>
        <w:t xml:space="preserve"> (In Spanish), </w:t>
      </w:r>
      <w:r w:rsidR="002F26EB" w:rsidRPr="00E54BD7">
        <w:rPr>
          <w:lang w:val="es-ES"/>
        </w:rPr>
        <w:t xml:space="preserve">Rev. </w:t>
      </w:r>
      <w:r w:rsidRPr="00E54BD7">
        <w:rPr>
          <w:lang w:val="es-ES"/>
        </w:rPr>
        <w:t xml:space="preserve">Cubana </w:t>
      </w:r>
      <w:r w:rsidR="002F26EB" w:rsidRPr="00E54BD7">
        <w:rPr>
          <w:lang w:val="es-ES"/>
        </w:rPr>
        <w:t>Met.</w:t>
      </w:r>
      <w:r w:rsidRPr="00E54BD7">
        <w:rPr>
          <w:lang w:val="es-ES"/>
        </w:rPr>
        <w:t>, 26, 2, 1–7.</w:t>
      </w:r>
    </w:p>
    <w:p w14:paraId="2C24EAF1" w14:textId="06983F21" w:rsidR="008D7C24" w:rsidRDefault="008D7C24" w:rsidP="00E65B91">
      <w:pPr>
        <w:pStyle w:val="CETReferencetext"/>
      </w:pPr>
      <w:r w:rsidRPr="00627B4B">
        <w:t>BARPI</w:t>
      </w:r>
      <w:r w:rsidR="0067160E">
        <w:t>,</w:t>
      </w:r>
      <w:r w:rsidRPr="00627B4B">
        <w:t xml:space="preserve"> 202</w:t>
      </w:r>
      <w:r>
        <w:t>4,</w:t>
      </w:r>
      <w:r w:rsidRPr="00627B4B">
        <w:t xml:space="preserve"> The ARIA Database [WWW Document]. The French bureau for analysis of industrial risks and pollutions (BARPI)</w:t>
      </w:r>
      <w:r>
        <w:t xml:space="preserve">, Report </w:t>
      </w:r>
      <w:r w:rsidRPr="000F52ED">
        <w:t>N° 59453-05/08/2022-CUBA-00-MATANZAS</w:t>
      </w:r>
      <w:r>
        <w:t xml:space="preserve"> </w:t>
      </w:r>
      <w:r w:rsidRPr="006B4888">
        <w:t>&lt;</w:t>
      </w:r>
      <w:r w:rsidRPr="000F52ED">
        <w:t>aria.developpement-durable.gouv.fr/accident/59453_en/?lang=</w:t>
      </w:r>
      <w:proofErr w:type="spellStart"/>
      <w:r w:rsidRPr="000F52ED">
        <w:t>en</w:t>
      </w:r>
      <w:proofErr w:type="spellEnd"/>
      <w:r w:rsidRPr="006B4888">
        <w:t xml:space="preserve">&gt; accessed </w:t>
      </w:r>
      <w:r>
        <w:t>22</w:t>
      </w:r>
      <w:r w:rsidRPr="006B4888">
        <w:t>.</w:t>
      </w:r>
      <w:r>
        <w:t>09.2024.</w:t>
      </w:r>
    </w:p>
    <w:p w14:paraId="1F55D820" w14:textId="24BBA746" w:rsidR="008D7C24" w:rsidRPr="00FC1082" w:rsidRDefault="008D7C24" w:rsidP="008F01EE">
      <w:pPr>
        <w:pStyle w:val="CETReferencetext"/>
        <w:rPr>
          <w:lang w:val="en-US"/>
        </w:rPr>
      </w:pPr>
      <w:r w:rsidRPr="00FC1082">
        <w:rPr>
          <w:lang w:val="en-US"/>
        </w:rPr>
        <w:t xml:space="preserve">Cabrera Estupiñán, E., </w:t>
      </w:r>
      <w:proofErr w:type="spellStart"/>
      <w:r w:rsidRPr="00FC1082">
        <w:rPr>
          <w:lang w:val="en-US"/>
        </w:rPr>
        <w:t>Alomá</w:t>
      </w:r>
      <w:proofErr w:type="spellEnd"/>
      <w:r w:rsidRPr="00FC1082">
        <w:rPr>
          <w:lang w:val="en-US"/>
        </w:rPr>
        <w:t xml:space="preserve"> Barceló, A., Ramos Arzola, L.C., Zambrano </w:t>
      </w:r>
      <w:proofErr w:type="spellStart"/>
      <w:r w:rsidRPr="00FC1082">
        <w:rPr>
          <w:lang w:val="en-US"/>
        </w:rPr>
        <w:t>Zambrano</w:t>
      </w:r>
      <w:proofErr w:type="spellEnd"/>
      <w:r w:rsidRPr="00FC1082">
        <w:rPr>
          <w:lang w:val="en-US"/>
        </w:rPr>
        <w:t>, C.M., Hydraulic simulation in the analysis of firefighting systems for the oil industry (in Spanish)</w:t>
      </w:r>
      <w:r>
        <w:rPr>
          <w:lang w:val="en-US"/>
        </w:rPr>
        <w:t xml:space="preserve">, </w:t>
      </w:r>
      <w:r w:rsidRPr="001C5273">
        <w:rPr>
          <w:lang w:val="en-US"/>
        </w:rPr>
        <w:t xml:space="preserve">XXVII Congreso Latinoamericano de </w:t>
      </w:r>
      <w:proofErr w:type="spellStart"/>
      <w:r w:rsidRPr="001C5273">
        <w:rPr>
          <w:lang w:val="en-US"/>
        </w:rPr>
        <w:t>Hidráulica</w:t>
      </w:r>
      <w:proofErr w:type="spellEnd"/>
      <w:r>
        <w:rPr>
          <w:lang w:val="en-US"/>
        </w:rPr>
        <w:t>, L</w:t>
      </w:r>
      <w:r w:rsidRPr="006F1693">
        <w:rPr>
          <w:lang w:val="en-US"/>
        </w:rPr>
        <w:t xml:space="preserve">ima, </w:t>
      </w:r>
      <w:r>
        <w:rPr>
          <w:lang w:val="en-US"/>
        </w:rPr>
        <w:t>P</w:t>
      </w:r>
      <w:r w:rsidRPr="006F1693">
        <w:rPr>
          <w:lang w:val="en-US"/>
        </w:rPr>
        <w:t>erú, 28</w:t>
      </w:r>
      <w:r>
        <w:rPr>
          <w:lang w:val="en-US"/>
        </w:rPr>
        <w:t>-</w:t>
      </w:r>
      <w:r w:rsidRPr="006F1693">
        <w:rPr>
          <w:lang w:val="en-US"/>
        </w:rPr>
        <w:t>30</w:t>
      </w:r>
      <w:r>
        <w:rPr>
          <w:lang w:val="en-US"/>
        </w:rPr>
        <w:t>/09/</w:t>
      </w:r>
      <w:r w:rsidRPr="006F1693">
        <w:rPr>
          <w:lang w:val="en-US"/>
        </w:rPr>
        <w:t>2016</w:t>
      </w:r>
      <w:r>
        <w:rPr>
          <w:lang w:val="en-US"/>
        </w:rPr>
        <w:t xml:space="preserve">, </w:t>
      </w:r>
      <w:r w:rsidRPr="008F0ACF">
        <w:t>1</w:t>
      </w:r>
      <w:r w:rsidRPr="006B4888">
        <w:t>–</w:t>
      </w:r>
      <w:r>
        <w:t>14.</w:t>
      </w:r>
    </w:p>
    <w:p w14:paraId="73DA8FAC" w14:textId="717C77F7" w:rsidR="00A51C2C" w:rsidRDefault="00D74784" w:rsidP="008D7C24">
      <w:pPr>
        <w:pStyle w:val="CETReferencetext"/>
        <w:rPr>
          <w:lang w:val="en-US"/>
        </w:rPr>
      </w:pPr>
      <w:r w:rsidRPr="008B3157">
        <w:t>Caratozzolo</w:t>
      </w:r>
      <w:r w:rsidR="00A51C2C" w:rsidRPr="008B3157">
        <w:t>,</w:t>
      </w:r>
      <w:r w:rsidRPr="008B3157">
        <w:t xml:space="preserve"> V., Misuri,</w:t>
      </w:r>
      <w:r w:rsidR="00A51C2C" w:rsidRPr="008B3157">
        <w:t xml:space="preserve"> A.</w:t>
      </w:r>
      <w:r w:rsidR="00A51C2C" w:rsidRPr="00A51C2C">
        <w:t>, Cozzani</w:t>
      </w:r>
      <w:r w:rsidRPr="008B3157">
        <w:t>,</w:t>
      </w:r>
      <w:r w:rsidR="00A51C2C" w:rsidRPr="008B3157">
        <w:t xml:space="preserve"> V.,</w:t>
      </w:r>
      <w:r w:rsidR="00A51C2C">
        <w:t xml:space="preserve"> </w:t>
      </w:r>
      <w:r w:rsidRPr="00D74784">
        <w:rPr>
          <w:lang w:val="en-US"/>
        </w:rPr>
        <w:t xml:space="preserve">A generalized equipment vulnerability model for the quantitative risk assessment of horizontal vessels involved in </w:t>
      </w:r>
      <w:proofErr w:type="spellStart"/>
      <w:r w:rsidRPr="00D74784">
        <w:rPr>
          <w:lang w:val="en-US"/>
        </w:rPr>
        <w:t>NaTech</w:t>
      </w:r>
      <w:proofErr w:type="spellEnd"/>
      <w:r w:rsidRPr="00D74784">
        <w:rPr>
          <w:lang w:val="en-US"/>
        </w:rPr>
        <w:t xml:space="preserve"> scenarios triggered by floods, </w:t>
      </w:r>
      <w:proofErr w:type="spellStart"/>
      <w:r w:rsidRPr="00D74784">
        <w:rPr>
          <w:lang w:val="en-US"/>
        </w:rPr>
        <w:t>Reliab</w:t>
      </w:r>
      <w:proofErr w:type="spellEnd"/>
      <w:r w:rsidRPr="00D74784">
        <w:rPr>
          <w:lang w:val="en-US"/>
        </w:rPr>
        <w:t>. Eng. Syst. Saf. 223 (2022) 108504</w:t>
      </w:r>
      <w:r w:rsidR="00B21AD4">
        <w:rPr>
          <w:lang w:val="en-US"/>
        </w:rPr>
        <w:t>.</w:t>
      </w:r>
    </w:p>
    <w:p w14:paraId="50A505A9" w14:textId="1AC754C8" w:rsidR="008D7C24" w:rsidRDefault="008D7C24" w:rsidP="008D7C24">
      <w:pPr>
        <w:pStyle w:val="CETReferencetext"/>
      </w:pPr>
      <w:r w:rsidRPr="005846B0">
        <w:rPr>
          <w:lang w:val="en-US"/>
        </w:rPr>
        <w:t xml:space="preserve">Castro Rodriguez, D.J., Mietkiewicz, J., Vitale, M., Baldissone, G., Demichela, M., Barresi, A.A., 2024, </w:t>
      </w:r>
      <w:proofErr w:type="spellStart"/>
      <w:r w:rsidRPr="005846B0">
        <w:t>NaTech</w:t>
      </w:r>
      <w:proofErr w:type="spellEnd"/>
      <w:r w:rsidRPr="005846B0">
        <w:t xml:space="preserve"> triggered by lightning: Novel insights from past events in the process industry. </w:t>
      </w:r>
      <w:proofErr w:type="spellStart"/>
      <w:r w:rsidRPr="005846B0">
        <w:t>Heliyon</w:t>
      </w:r>
      <w:proofErr w:type="spellEnd"/>
      <w:r w:rsidRPr="005846B0">
        <w:t xml:space="preserve"> 10, e31610</w:t>
      </w:r>
      <w:r w:rsidR="00F1361B">
        <w:t>.</w:t>
      </w:r>
    </w:p>
    <w:p w14:paraId="3B50FC6C" w14:textId="77777777" w:rsidR="008D7C24" w:rsidRPr="00E54BD7" w:rsidRDefault="008D7C24" w:rsidP="00DB326A">
      <w:pPr>
        <w:pStyle w:val="CETReferencetext"/>
      </w:pPr>
      <w:r w:rsidRPr="00F92C01">
        <w:rPr>
          <w:lang w:val="en-US"/>
        </w:rPr>
        <w:t>Castro Rodriguez, D.J., Barresi, A.A., Demichela, M., 2025</w:t>
      </w:r>
      <w:r>
        <w:rPr>
          <w:lang w:val="en-US"/>
        </w:rPr>
        <w:t>a</w:t>
      </w:r>
      <w:r w:rsidRPr="00F92C01">
        <w:rPr>
          <w:lang w:val="en-US"/>
        </w:rPr>
        <w:t xml:space="preserve">, </w:t>
      </w:r>
      <w:r w:rsidRPr="00AC6F79">
        <w:t xml:space="preserve">Multi-risk </w:t>
      </w:r>
      <w:proofErr w:type="spellStart"/>
      <w:r w:rsidRPr="00AC6F79">
        <w:t>NaTech</w:t>
      </w:r>
      <w:proofErr w:type="spellEnd"/>
      <w:r w:rsidRPr="00AC6F79">
        <w:t xml:space="preserve"> vulnerability indicator: A step further</w:t>
      </w:r>
      <w:r>
        <w:t>,</w:t>
      </w:r>
      <w:r w:rsidRPr="008F0ACF">
        <w:t xml:space="preserve"> </w:t>
      </w:r>
      <w:r w:rsidRPr="007D699B">
        <w:t xml:space="preserve">J. Loss Prev. </w:t>
      </w:r>
      <w:r w:rsidRPr="00E54BD7">
        <w:t>Process Ind., 95, 105588, 1–14.</w:t>
      </w:r>
    </w:p>
    <w:p w14:paraId="2CF088F0" w14:textId="558654FB" w:rsidR="008D7C24" w:rsidRDefault="008D7C24" w:rsidP="00326333">
      <w:pPr>
        <w:pStyle w:val="CETReferencetext"/>
        <w:rPr>
          <w:highlight w:val="yellow"/>
        </w:rPr>
      </w:pPr>
      <w:r w:rsidRPr="00E54BD7">
        <w:t xml:space="preserve">Castro Rodriguez, D.J., Barresi, A.A., Demichela, M., 2025b. </w:t>
      </w:r>
      <w:r>
        <w:t>R</w:t>
      </w:r>
      <w:r w:rsidRPr="00C73759">
        <w:t xml:space="preserve">esilience-based framework for enhancing </w:t>
      </w:r>
      <w:proofErr w:type="spellStart"/>
      <w:r>
        <w:t>N</w:t>
      </w:r>
      <w:r w:rsidRPr="00C73759">
        <w:t>a</w:t>
      </w:r>
      <w:r>
        <w:t>T</w:t>
      </w:r>
      <w:r w:rsidRPr="00C73759">
        <w:t>ech</w:t>
      </w:r>
      <w:proofErr w:type="spellEnd"/>
      <w:r w:rsidRPr="00C73759">
        <w:t xml:space="preserve"> risk management in industrial critical infrastructures</w:t>
      </w:r>
      <w:r>
        <w:t>,</w:t>
      </w:r>
      <w:r w:rsidRPr="00C73759">
        <w:t xml:space="preserve"> </w:t>
      </w:r>
      <w:r w:rsidRPr="000D014A">
        <w:t>Environ Syst</w:t>
      </w:r>
      <w:r w:rsidR="0067160E">
        <w:t>.</w:t>
      </w:r>
      <w:r w:rsidRPr="000D014A">
        <w:t xml:space="preserve"> </w:t>
      </w:r>
      <w:proofErr w:type="spellStart"/>
      <w:r w:rsidRPr="000D014A">
        <w:t>Decis</w:t>
      </w:r>
      <w:proofErr w:type="spellEnd"/>
      <w:r w:rsidR="0067160E">
        <w:t>.</w:t>
      </w:r>
      <w:r>
        <w:t>,</w:t>
      </w:r>
      <w:r w:rsidRPr="00C73759">
        <w:t xml:space="preserve"> 45:63.</w:t>
      </w:r>
    </w:p>
    <w:p w14:paraId="57B53C1F" w14:textId="7746F555" w:rsidR="008D7C24" w:rsidRDefault="008D7C24" w:rsidP="008B3C28">
      <w:pPr>
        <w:pStyle w:val="CETReferencetext"/>
      </w:pPr>
      <w:r>
        <w:t>Chang</w:t>
      </w:r>
      <w:r w:rsidR="0067160E">
        <w:t>,</w:t>
      </w:r>
      <w:r>
        <w:t xml:space="preserve"> J. I.</w:t>
      </w:r>
      <w:r w:rsidR="0067160E">
        <w:t>,</w:t>
      </w:r>
      <w:r>
        <w:t xml:space="preserve"> Ling</w:t>
      </w:r>
      <w:r w:rsidR="0067160E">
        <w:t>,</w:t>
      </w:r>
      <w:r>
        <w:t xml:space="preserve"> C., 2006, A study of storage tank accidents, </w:t>
      </w:r>
      <w:r w:rsidRPr="008E6560">
        <w:t>J. Loss Prev. Process Ind.</w:t>
      </w:r>
      <w:r>
        <w:t>, 19</w:t>
      </w:r>
      <w:r w:rsidR="0067160E">
        <w:t xml:space="preserve"> (</w:t>
      </w:r>
      <w:r>
        <w:t>1</w:t>
      </w:r>
      <w:r w:rsidR="0067160E">
        <w:t>)</w:t>
      </w:r>
      <w:r>
        <w:t>, 51</w:t>
      </w:r>
      <w:r w:rsidRPr="000931CE">
        <w:t>–</w:t>
      </w:r>
      <w:r>
        <w:t>59.</w:t>
      </w:r>
    </w:p>
    <w:p w14:paraId="5ED05E6E" w14:textId="1ADB4F38" w:rsidR="008D7C24" w:rsidRPr="00B05DFD" w:rsidRDefault="008D7C24" w:rsidP="00903DEC">
      <w:pPr>
        <w:pStyle w:val="CETReferencetext"/>
      </w:pPr>
      <w:proofErr w:type="spellStart"/>
      <w:r w:rsidRPr="00B05DFD">
        <w:t>Khakzad</w:t>
      </w:r>
      <w:proofErr w:type="spellEnd"/>
      <w:r w:rsidRPr="00B05DFD">
        <w:t>, N., 2023</w:t>
      </w:r>
      <w:r>
        <w:t>,</w:t>
      </w:r>
      <w:r w:rsidRPr="00B05DFD">
        <w:t xml:space="preserve"> </w:t>
      </w:r>
      <w:r w:rsidRPr="00A04865">
        <w:t>Multi-objective optimization of firefighting strategies in process plants</w:t>
      </w:r>
      <w:r w:rsidRPr="00B05DFD">
        <w:t xml:space="preserve">. </w:t>
      </w:r>
      <w:r w:rsidR="0067160E" w:rsidRPr="00B05DFD">
        <w:t>Chem</w:t>
      </w:r>
      <w:r w:rsidR="0067160E">
        <w:t>.</w:t>
      </w:r>
      <w:r w:rsidR="0067160E" w:rsidRPr="00B05DFD">
        <w:t xml:space="preserve"> Eng</w:t>
      </w:r>
      <w:r w:rsidR="0067160E">
        <w:t>.</w:t>
      </w:r>
      <w:r w:rsidR="0067160E" w:rsidRPr="00B05DFD">
        <w:t xml:space="preserve"> Trans</w:t>
      </w:r>
      <w:r w:rsidR="0067160E">
        <w:t>.,</w:t>
      </w:r>
      <w:r w:rsidR="0067160E" w:rsidRPr="00B05DFD">
        <w:t xml:space="preserve"> </w:t>
      </w:r>
      <w:r w:rsidRPr="00B05DFD">
        <w:t xml:space="preserve">104, </w:t>
      </w:r>
      <w:r>
        <w:t>175</w:t>
      </w:r>
      <w:r w:rsidRPr="00B05DFD">
        <w:t>–18</w:t>
      </w:r>
      <w:r>
        <w:t>0.</w:t>
      </w:r>
    </w:p>
    <w:p w14:paraId="7AC394BF" w14:textId="030314A1" w:rsidR="008D7C24" w:rsidRDefault="008D7C24" w:rsidP="00DB326A">
      <w:pPr>
        <w:pStyle w:val="CETReferencetext"/>
      </w:pPr>
      <w:r w:rsidRPr="00F67629">
        <w:rPr>
          <w:lang w:val="en-US"/>
        </w:rPr>
        <w:t xml:space="preserve">Krausmann, E., </w:t>
      </w:r>
      <w:r>
        <w:rPr>
          <w:lang w:val="en-US"/>
        </w:rPr>
        <w:t xml:space="preserve">Cozzani, V., Salzano, E., </w:t>
      </w:r>
      <w:r w:rsidRPr="00F67629">
        <w:rPr>
          <w:lang w:val="en-US"/>
        </w:rPr>
        <w:t xml:space="preserve">Renni, E., 2011, </w:t>
      </w:r>
      <w:r w:rsidRPr="00A510F6">
        <w:t>Industrial accidents triggered by natural hazards: an emerging risk issue</w:t>
      </w:r>
      <w:r>
        <w:t>,</w:t>
      </w:r>
      <w:r w:rsidRPr="00F67629">
        <w:t xml:space="preserve"> </w:t>
      </w:r>
      <w:r w:rsidR="0067160E" w:rsidRPr="0067160E">
        <w:t>Nat. Hazards Earth Syst. Sci.</w:t>
      </w:r>
      <w:r w:rsidRPr="00F67629">
        <w:t xml:space="preserve">, </w:t>
      </w:r>
      <w:r w:rsidRPr="00681857">
        <w:t>11, 921–929</w:t>
      </w:r>
      <w:r>
        <w:t>.</w:t>
      </w:r>
    </w:p>
    <w:p w14:paraId="3C2E6E14" w14:textId="5B66E70F" w:rsidR="008D7C24" w:rsidRDefault="008D7C24" w:rsidP="00F82374">
      <w:pPr>
        <w:pStyle w:val="CETReferencetext"/>
      </w:pPr>
      <w:r>
        <w:rPr>
          <w:lang w:val="en-US"/>
        </w:rPr>
        <w:t>Mandal,</w:t>
      </w:r>
      <w:r w:rsidRPr="00B345D7">
        <w:rPr>
          <w:lang w:val="en-US"/>
        </w:rPr>
        <w:t xml:space="preserve"> C.S.</w:t>
      </w:r>
      <w:r w:rsidR="00C02973">
        <w:rPr>
          <w:lang w:val="en-US"/>
        </w:rPr>
        <w:t>,</w:t>
      </w:r>
      <w:r w:rsidRPr="00B345D7">
        <w:rPr>
          <w:lang w:val="en-US"/>
        </w:rPr>
        <w:t xml:space="preserve"> Agarwal</w:t>
      </w:r>
      <w:r w:rsidR="00C02973">
        <w:rPr>
          <w:lang w:val="en-US"/>
        </w:rPr>
        <w:t>,</w:t>
      </w:r>
      <w:r w:rsidRPr="00B345D7">
        <w:rPr>
          <w:lang w:val="en-US"/>
        </w:rPr>
        <w:t xml:space="preserve"> M.,</w:t>
      </w:r>
      <w:r>
        <w:rPr>
          <w:lang w:val="en-US"/>
        </w:rPr>
        <w:t xml:space="preserve"> 2024, </w:t>
      </w:r>
      <w:proofErr w:type="spellStart"/>
      <w:r>
        <w:t>Natech</w:t>
      </w:r>
      <w:proofErr w:type="spellEnd"/>
      <w:r>
        <w:t xml:space="preserve"> risk assessment for crude oil storage tanks using fish bone diagram, Materials Today: </w:t>
      </w:r>
      <w:r w:rsidR="0067160E">
        <w:t>Proc.</w:t>
      </w:r>
      <w:r>
        <w:t>, 99, 170</w:t>
      </w:r>
      <w:r w:rsidRPr="002A2756">
        <w:t>–</w:t>
      </w:r>
      <w:r>
        <w:t>176.</w:t>
      </w:r>
    </w:p>
    <w:p w14:paraId="5C41D77F" w14:textId="0745F487" w:rsidR="008D7C24" w:rsidRDefault="008D7C24" w:rsidP="00F82374">
      <w:pPr>
        <w:pStyle w:val="CETReferencetext"/>
      </w:pPr>
      <w:proofErr w:type="spellStart"/>
      <w:r w:rsidRPr="00F247A1">
        <w:rPr>
          <w:lang w:val="en-US"/>
        </w:rPr>
        <w:t>Misuri</w:t>
      </w:r>
      <w:proofErr w:type="spellEnd"/>
      <w:r w:rsidRPr="00F247A1">
        <w:rPr>
          <w:lang w:val="en-US"/>
        </w:rPr>
        <w:t xml:space="preserve">, A., Antonioni, G., Cozzani, V., 2020, </w:t>
      </w:r>
      <w:r w:rsidRPr="00B03AAC">
        <w:t xml:space="preserve">Quantitative risk assessment of domino effect in </w:t>
      </w:r>
      <w:proofErr w:type="spellStart"/>
      <w:r w:rsidRPr="00B03AAC">
        <w:t>NaTech</w:t>
      </w:r>
      <w:proofErr w:type="spellEnd"/>
      <w:r w:rsidRPr="00B03AAC">
        <w:t xml:space="preserve"> scenarios triggered by lightning. J. Loss Prev. Process Ind. 64, 104095.</w:t>
      </w:r>
      <w:r>
        <w:t xml:space="preserve"> </w:t>
      </w:r>
    </w:p>
    <w:p w14:paraId="64F501FE" w14:textId="2A63E224" w:rsidR="008D7C24" w:rsidRPr="0082138D" w:rsidRDefault="008D7C24" w:rsidP="00735400">
      <w:pPr>
        <w:pStyle w:val="CETReferencetext"/>
      </w:pPr>
      <w:r w:rsidRPr="00735400">
        <w:rPr>
          <w:lang w:val="en-US"/>
        </w:rPr>
        <w:t>NC IEC 62305-2: 2009, Protection against lightning</w:t>
      </w:r>
      <w:r>
        <w:rPr>
          <w:lang w:val="en-US"/>
        </w:rPr>
        <w:t>. Part 2: Risk management (in Spanish</w:t>
      </w:r>
      <w:r w:rsidRPr="00735400">
        <w:rPr>
          <w:lang w:val="en-US"/>
        </w:rPr>
        <w:t xml:space="preserve">. </w:t>
      </w:r>
      <w:r w:rsidRPr="0082138D">
        <w:t>National Standardization Office, La Habana, Cuba.</w:t>
      </w:r>
    </w:p>
    <w:p w14:paraId="75E775D6" w14:textId="02F43F93" w:rsidR="008D7C24" w:rsidRDefault="008D7C24" w:rsidP="007D7DB6">
      <w:pPr>
        <w:pStyle w:val="CETReferencetext"/>
      </w:pPr>
      <w:r w:rsidRPr="00735400">
        <w:rPr>
          <w:lang w:val="en-US"/>
        </w:rPr>
        <w:t xml:space="preserve">NC </w:t>
      </w:r>
      <w:r w:rsidRPr="00CF47EB">
        <w:rPr>
          <w:lang w:val="en-US"/>
        </w:rPr>
        <w:t>IEC 62305-3</w:t>
      </w:r>
      <w:r w:rsidRPr="00735400">
        <w:rPr>
          <w:lang w:val="en-US"/>
        </w:rPr>
        <w:t>:</w:t>
      </w:r>
      <w:r>
        <w:rPr>
          <w:lang w:val="en-US"/>
        </w:rPr>
        <w:t xml:space="preserve"> 2016</w:t>
      </w:r>
      <w:r w:rsidRPr="00735400">
        <w:rPr>
          <w:lang w:val="en-US"/>
        </w:rPr>
        <w:t>, Protection against lightning</w:t>
      </w:r>
      <w:r>
        <w:rPr>
          <w:lang w:val="en-US"/>
        </w:rPr>
        <w:t>. Part 3: P</w:t>
      </w:r>
      <w:r w:rsidRPr="00092C77">
        <w:rPr>
          <w:lang w:val="en-US"/>
        </w:rPr>
        <w:t xml:space="preserve">hysical damage to structures and human risk (IEC 62305-3: 2010, IDT) </w:t>
      </w:r>
      <w:r>
        <w:rPr>
          <w:lang w:val="en-US"/>
        </w:rPr>
        <w:t>(in Spanish</w:t>
      </w:r>
      <w:r w:rsidR="007D7DB6">
        <w:rPr>
          <w:lang w:val="en-US"/>
        </w:rPr>
        <w:t>)</w:t>
      </w:r>
      <w:r w:rsidR="007D7DB6" w:rsidRPr="00735400">
        <w:rPr>
          <w:lang w:val="en-US"/>
        </w:rPr>
        <w:t>,</w:t>
      </w:r>
      <w:r w:rsidR="007D7DB6">
        <w:rPr>
          <w:lang w:val="en-US"/>
        </w:rPr>
        <w:t xml:space="preserve"> </w:t>
      </w:r>
      <w:r w:rsidR="007D7DB6" w:rsidRPr="00735400">
        <w:rPr>
          <w:lang w:val="en-US"/>
        </w:rPr>
        <w:t>National</w:t>
      </w:r>
      <w:r w:rsidRPr="007D7DB6">
        <w:t xml:space="preserve"> Standardization Office, La Habana, Cuba.</w:t>
      </w:r>
    </w:p>
    <w:p w14:paraId="4BA07A11" w14:textId="77777777" w:rsidR="008D7C24" w:rsidRDefault="008D7C24" w:rsidP="00DB326A">
      <w:pPr>
        <w:pStyle w:val="CETReferencetext"/>
      </w:pPr>
      <w:r w:rsidRPr="00241E5C">
        <w:t>Necci, A., Krausmann, E., 2022</w:t>
      </w:r>
      <w:r>
        <w:t>,</w:t>
      </w:r>
      <w:r w:rsidRPr="00241E5C">
        <w:t xml:space="preserve"> </w:t>
      </w:r>
      <w:proofErr w:type="spellStart"/>
      <w:r w:rsidRPr="00241E5C">
        <w:t>NaTech</w:t>
      </w:r>
      <w:proofErr w:type="spellEnd"/>
      <w:r w:rsidRPr="00241E5C">
        <w:t xml:space="preserve"> risk management</w:t>
      </w:r>
      <w:r>
        <w:t>—Guidance</w:t>
      </w:r>
      <w:r w:rsidRPr="00241E5C">
        <w:t xml:space="preserve"> for operators of hazardous industrial sites and for national authorities (JRC129450 No. EUR 31122 EN)</w:t>
      </w:r>
      <w:r>
        <w:t>,</w:t>
      </w:r>
      <w:r w:rsidRPr="00241E5C">
        <w:t xml:space="preserve"> Publications Office of the European Union, </w:t>
      </w:r>
      <w:r>
        <w:t xml:space="preserve">Luxembourg, </w:t>
      </w:r>
      <w:r w:rsidRPr="008F0ACF">
        <w:t>1</w:t>
      </w:r>
      <w:r w:rsidRPr="006B4888">
        <w:t>–</w:t>
      </w:r>
      <w:r>
        <w:t>50.</w:t>
      </w:r>
    </w:p>
    <w:p w14:paraId="6677CA98" w14:textId="3682B0FE" w:rsidR="008D7C24" w:rsidRDefault="008D7C24" w:rsidP="0081513C">
      <w:pPr>
        <w:pStyle w:val="CETReferencetext"/>
      </w:pPr>
      <w:r w:rsidRPr="00AF362C">
        <w:t>Rasmussen</w:t>
      </w:r>
      <w:r>
        <w:t xml:space="preserve"> K.</w:t>
      </w:r>
      <w:r w:rsidRPr="00AF362C">
        <w:t xml:space="preserve">, </w:t>
      </w:r>
      <w:r>
        <w:t xml:space="preserve">1995, </w:t>
      </w:r>
      <w:r w:rsidRPr="00AF362C">
        <w:t xml:space="preserve">Natural events and accidents with hazardous materials, </w:t>
      </w:r>
      <w:r w:rsidRPr="00E25E00">
        <w:t>J</w:t>
      </w:r>
      <w:r w:rsidR="00C02973">
        <w:t>.</w:t>
      </w:r>
      <w:r w:rsidRPr="00E25E00">
        <w:t xml:space="preserve"> </w:t>
      </w:r>
      <w:r w:rsidR="00C02973" w:rsidRPr="00E25E00">
        <w:t>Hazard</w:t>
      </w:r>
      <w:r w:rsidR="00C02973">
        <w:t>.</w:t>
      </w:r>
      <w:r w:rsidR="00C02973" w:rsidRPr="00E25E00">
        <w:t xml:space="preserve"> Mater</w:t>
      </w:r>
      <w:r w:rsidR="00C02973">
        <w:t>.</w:t>
      </w:r>
      <w:r>
        <w:t>,</w:t>
      </w:r>
      <w:r w:rsidRPr="00AF362C">
        <w:t xml:space="preserve"> 40</w:t>
      </w:r>
      <w:r>
        <w:t>,</w:t>
      </w:r>
      <w:r w:rsidRPr="00AF362C">
        <w:t xml:space="preserve"> 43–54</w:t>
      </w:r>
      <w:r>
        <w:t>.</w:t>
      </w:r>
    </w:p>
    <w:p w14:paraId="1CA4230E" w14:textId="2E932C81" w:rsidR="008D7C24" w:rsidRDefault="008D7C24" w:rsidP="00DB326A">
      <w:pPr>
        <w:pStyle w:val="CETReferencetext"/>
      </w:pPr>
      <w:r w:rsidRPr="002A2756">
        <w:t>Renni</w:t>
      </w:r>
      <w:r>
        <w:t xml:space="preserve"> </w:t>
      </w:r>
      <w:r w:rsidRPr="002A2756">
        <w:t>E., Krausmann</w:t>
      </w:r>
      <w:r>
        <w:t xml:space="preserve"> </w:t>
      </w:r>
      <w:r w:rsidRPr="002A2756">
        <w:t>E., Cozzani</w:t>
      </w:r>
      <w:r>
        <w:t xml:space="preserve"> </w:t>
      </w:r>
      <w:r w:rsidRPr="002A2756">
        <w:t xml:space="preserve">V., </w:t>
      </w:r>
      <w:r>
        <w:t xml:space="preserve">2010, </w:t>
      </w:r>
      <w:r w:rsidRPr="002A2756">
        <w:t xml:space="preserve">Industrial accidents triggered by lightning, </w:t>
      </w:r>
      <w:r w:rsidRPr="00E25E00">
        <w:t>J</w:t>
      </w:r>
      <w:r w:rsidR="00C02973">
        <w:t>.</w:t>
      </w:r>
      <w:r w:rsidRPr="00E25E00">
        <w:t xml:space="preserve"> </w:t>
      </w:r>
      <w:r w:rsidR="00C02973" w:rsidRPr="00E25E00">
        <w:t>Hazard</w:t>
      </w:r>
      <w:r w:rsidR="00C02973">
        <w:t>.</w:t>
      </w:r>
      <w:r w:rsidR="00C02973" w:rsidRPr="00E25E00">
        <w:t xml:space="preserve"> Mater</w:t>
      </w:r>
      <w:r w:rsidR="00C02973">
        <w:t>.</w:t>
      </w:r>
      <w:r>
        <w:t>,</w:t>
      </w:r>
      <w:r w:rsidRPr="002A2756">
        <w:t xml:space="preserve"> 184</w:t>
      </w:r>
      <w:r>
        <w:t>.</w:t>
      </w:r>
    </w:p>
    <w:p w14:paraId="2052E600" w14:textId="2A5B26EC" w:rsidR="00833586" w:rsidRDefault="008D7C24" w:rsidP="00DB326A">
      <w:pPr>
        <w:pStyle w:val="CETReferencetext"/>
        <w:rPr>
          <w:lang w:val="en-US"/>
        </w:rPr>
      </w:pPr>
      <w:r w:rsidRPr="0025129C">
        <w:rPr>
          <w:lang w:val="en-US"/>
        </w:rPr>
        <w:t xml:space="preserve">Ricci, F., Casson Moreno, V., Cozzani, V., 2021, </w:t>
      </w:r>
      <w:r w:rsidRPr="0025129C">
        <w:t xml:space="preserve">A comprehensive analysis of the occurrence of </w:t>
      </w:r>
      <w:proofErr w:type="spellStart"/>
      <w:r w:rsidRPr="0025129C">
        <w:t>NaTech</w:t>
      </w:r>
      <w:proofErr w:type="spellEnd"/>
      <w:r w:rsidRPr="0025129C">
        <w:t xml:space="preserve"> events in the process industry</w:t>
      </w:r>
      <w:r>
        <w:t xml:space="preserve">, </w:t>
      </w:r>
      <w:r w:rsidRPr="00EE0CB4">
        <w:t>Process Saf. Environ. Prot.</w:t>
      </w:r>
      <w:r>
        <w:t xml:space="preserve">, </w:t>
      </w:r>
      <w:r w:rsidRPr="0025129C">
        <w:t>147, 703–713</w:t>
      </w:r>
      <w:r>
        <w:t>.</w:t>
      </w:r>
    </w:p>
    <w:p w14:paraId="6B80A5F6" w14:textId="2CC518BD" w:rsidR="008D7C24" w:rsidRDefault="008D7C24" w:rsidP="00DB326A">
      <w:pPr>
        <w:pStyle w:val="CETReferencetext"/>
      </w:pPr>
      <w:r w:rsidRPr="00D11F10">
        <w:rPr>
          <w:lang w:val="en-US"/>
        </w:rPr>
        <w:t xml:space="preserve">Ricci, F., Yang, M., Reniers, G., Cozzani, V., 2024, </w:t>
      </w:r>
      <w:r w:rsidRPr="007266A1">
        <w:t>Emergency response in cascading scenarios triggered by natural events</w:t>
      </w:r>
      <w:r>
        <w:t>,</w:t>
      </w:r>
      <w:r w:rsidRPr="007266A1">
        <w:t xml:space="preserve"> </w:t>
      </w:r>
      <w:proofErr w:type="spellStart"/>
      <w:r w:rsidRPr="00EE0CB4">
        <w:t>Reliab</w:t>
      </w:r>
      <w:proofErr w:type="spellEnd"/>
      <w:r w:rsidRPr="00EE0CB4">
        <w:t>. Eng. Syst. Saf.</w:t>
      </w:r>
      <w:r>
        <w:t>,</w:t>
      </w:r>
      <w:r w:rsidRPr="007266A1">
        <w:t xml:space="preserve"> 243, 109820</w:t>
      </w:r>
      <w:r>
        <w:t>.</w:t>
      </w:r>
    </w:p>
    <w:p w14:paraId="416BC97A" w14:textId="59E42F90" w:rsidR="008D7C24" w:rsidRDefault="008D7C24" w:rsidP="00143C6B">
      <w:pPr>
        <w:pStyle w:val="CETReferencetext"/>
      </w:pPr>
      <w:r>
        <w:t xml:space="preserve">Sudha S., </w:t>
      </w:r>
      <w:proofErr w:type="spellStart"/>
      <w:r>
        <w:t>Kalaiselvam</w:t>
      </w:r>
      <w:proofErr w:type="spellEnd"/>
      <w:r>
        <w:t xml:space="preserve"> S., 2026, </w:t>
      </w:r>
      <w:proofErr w:type="spellStart"/>
      <w:r>
        <w:t>NaTech</w:t>
      </w:r>
      <w:proofErr w:type="spellEnd"/>
      <w:r>
        <w:t xml:space="preserve">-specific Inherent Safety Index (NISI): A quantitative framework for evaluating safety performance during extreme weather and geophysical hazards in hazardous industrial clusters, </w:t>
      </w:r>
      <w:proofErr w:type="spellStart"/>
      <w:r w:rsidRPr="00EE0CB4">
        <w:t>Reliab</w:t>
      </w:r>
      <w:proofErr w:type="spellEnd"/>
      <w:r w:rsidRPr="00EE0CB4">
        <w:t>. Eng. Syst. Saf.</w:t>
      </w:r>
      <w:r>
        <w:t>, 268, 111965.</w:t>
      </w:r>
    </w:p>
    <w:sectPr w:rsidR="008D7C24" w:rsidSect="000B1114">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EC0D4" w14:textId="77777777" w:rsidR="00EE29AB" w:rsidRDefault="00EE29AB" w:rsidP="004F5E36">
      <w:r>
        <w:separator/>
      </w:r>
    </w:p>
  </w:endnote>
  <w:endnote w:type="continuationSeparator" w:id="0">
    <w:p w14:paraId="335A3D64" w14:textId="77777777" w:rsidR="00EE29AB" w:rsidRDefault="00EE29A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70011" w14:textId="77777777" w:rsidR="00EE29AB" w:rsidRDefault="00EE29AB" w:rsidP="004F5E36">
      <w:r>
        <w:separator/>
      </w:r>
    </w:p>
  </w:footnote>
  <w:footnote w:type="continuationSeparator" w:id="0">
    <w:p w14:paraId="7580878D" w14:textId="77777777" w:rsidR="00EE29AB" w:rsidRDefault="00EE29A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5E9244D"/>
    <w:multiLevelType w:val="hybridMultilevel"/>
    <w:tmpl w:val="C35E8218"/>
    <w:lvl w:ilvl="0" w:tplc="4992BE84">
      <w:start w:val="1"/>
      <w:numFmt w:val="bullet"/>
      <w:lvlText w:val=""/>
      <w:lvlJc w:val="left"/>
      <w:pPr>
        <w:ind w:left="720" w:hanging="360"/>
      </w:pPr>
      <w:rPr>
        <w:rFonts w:ascii="Symbol" w:hAnsi="Symbol"/>
      </w:rPr>
    </w:lvl>
    <w:lvl w:ilvl="1" w:tplc="40B0FBF8">
      <w:start w:val="1"/>
      <w:numFmt w:val="bullet"/>
      <w:lvlText w:val=""/>
      <w:lvlJc w:val="left"/>
      <w:pPr>
        <w:ind w:left="720" w:hanging="360"/>
      </w:pPr>
      <w:rPr>
        <w:rFonts w:ascii="Symbol" w:hAnsi="Symbol"/>
      </w:rPr>
    </w:lvl>
    <w:lvl w:ilvl="2" w:tplc="E08033F4">
      <w:start w:val="1"/>
      <w:numFmt w:val="bullet"/>
      <w:lvlText w:val=""/>
      <w:lvlJc w:val="left"/>
      <w:pPr>
        <w:ind w:left="720" w:hanging="360"/>
      </w:pPr>
      <w:rPr>
        <w:rFonts w:ascii="Symbol" w:hAnsi="Symbol"/>
      </w:rPr>
    </w:lvl>
    <w:lvl w:ilvl="3" w:tplc="A7E0BD36">
      <w:start w:val="1"/>
      <w:numFmt w:val="bullet"/>
      <w:lvlText w:val=""/>
      <w:lvlJc w:val="left"/>
      <w:pPr>
        <w:ind w:left="720" w:hanging="360"/>
      </w:pPr>
      <w:rPr>
        <w:rFonts w:ascii="Symbol" w:hAnsi="Symbol"/>
      </w:rPr>
    </w:lvl>
    <w:lvl w:ilvl="4" w:tplc="7346CC34">
      <w:start w:val="1"/>
      <w:numFmt w:val="bullet"/>
      <w:lvlText w:val=""/>
      <w:lvlJc w:val="left"/>
      <w:pPr>
        <w:ind w:left="720" w:hanging="360"/>
      </w:pPr>
      <w:rPr>
        <w:rFonts w:ascii="Symbol" w:hAnsi="Symbol"/>
      </w:rPr>
    </w:lvl>
    <w:lvl w:ilvl="5" w:tplc="8EB2E23E">
      <w:start w:val="1"/>
      <w:numFmt w:val="bullet"/>
      <w:lvlText w:val=""/>
      <w:lvlJc w:val="left"/>
      <w:pPr>
        <w:ind w:left="720" w:hanging="360"/>
      </w:pPr>
      <w:rPr>
        <w:rFonts w:ascii="Symbol" w:hAnsi="Symbol"/>
      </w:rPr>
    </w:lvl>
    <w:lvl w:ilvl="6" w:tplc="EF541FB4">
      <w:start w:val="1"/>
      <w:numFmt w:val="bullet"/>
      <w:lvlText w:val=""/>
      <w:lvlJc w:val="left"/>
      <w:pPr>
        <w:ind w:left="720" w:hanging="360"/>
      </w:pPr>
      <w:rPr>
        <w:rFonts w:ascii="Symbol" w:hAnsi="Symbol"/>
      </w:rPr>
    </w:lvl>
    <w:lvl w:ilvl="7" w:tplc="84F2A7EA">
      <w:start w:val="1"/>
      <w:numFmt w:val="bullet"/>
      <w:lvlText w:val=""/>
      <w:lvlJc w:val="left"/>
      <w:pPr>
        <w:ind w:left="720" w:hanging="360"/>
      </w:pPr>
      <w:rPr>
        <w:rFonts w:ascii="Symbol" w:hAnsi="Symbol"/>
      </w:rPr>
    </w:lvl>
    <w:lvl w:ilvl="8" w:tplc="52BA0332">
      <w:start w:val="1"/>
      <w:numFmt w:val="bullet"/>
      <w:lvlText w:val=""/>
      <w:lvlJc w:val="left"/>
      <w:pPr>
        <w:ind w:left="720" w:hanging="360"/>
      </w:pPr>
      <w:rPr>
        <w:rFonts w:ascii="Symbol" w:hAnsi="Symbol"/>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FA341E3"/>
    <w:multiLevelType w:val="hybridMultilevel"/>
    <w:tmpl w:val="25E4FA3E"/>
    <w:lvl w:ilvl="0" w:tplc="3E4A1692">
      <w:start w:val="1"/>
      <w:numFmt w:val="lowerLetter"/>
      <w:lvlText w:val="%1)"/>
      <w:lvlJc w:val="left"/>
      <w:pPr>
        <w:ind w:left="1215" w:hanging="360"/>
      </w:pPr>
      <w:rPr>
        <w:rFonts w:hint="default"/>
      </w:rPr>
    </w:lvl>
    <w:lvl w:ilvl="1" w:tplc="04100019" w:tentative="1">
      <w:start w:val="1"/>
      <w:numFmt w:val="lowerLetter"/>
      <w:lvlText w:val="%2."/>
      <w:lvlJc w:val="left"/>
      <w:pPr>
        <w:ind w:left="1935" w:hanging="360"/>
      </w:pPr>
    </w:lvl>
    <w:lvl w:ilvl="2" w:tplc="0410001B" w:tentative="1">
      <w:start w:val="1"/>
      <w:numFmt w:val="lowerRoman"/>
      <w:lvlText w:val="%3."/>
      <w:lvlJc w:val="right"/>
      <w:pPr>
        <w:ind w:left="2655" w:hanging="180"/>
      </w:pPr>
    </w:lvl>
    <w:lvl w:ilvl="3" w:tplc="0410000F" w:tentative="1">
      <w:start w:val="1"/>
      <w:numFmt w:val="decimal"/>
      <w:lvlText w:val="%4."/>
      <w:lvlJc w:val="left"/>
      <w:pPr>
        <w:ind w:left="3375" w:hanging="360"/>
      </w:pPr>
    </w:lvl>
    <w:lvl w:ilvl="4" w:tplc="04100019" w:tentative="1">
      <w:start w:val="1"/>
      <w:numFmt w:val="lowerLetter"/>
      <w:lvlText w:val="%5."/>
      <w:lvlJc w:val="left"/>
      <w:pPr>
        <w:ind w:left="4095" w:hanging="360"/>
      </w:pPr>
    </w:lvl>
    <w:lvl w:ilvl="5" w:tplc="0410001B" w:tentative="1">
      <w:start w:val="1"/>
      <w:numFmt w:val="lowerRoman"/>
      <w:lvlText w:val="%6."/>
      <w:lvlJc w:val="right"/>
      <w:pPr>
        <w:ind w:left="4815" w:hanging="180"/>
      </w:pPr>
    </w:lvl>
    <w:lvl w:ilvl="6" w:tplc="0410000F" w:tentative="1">
      <w:start w:val="1"/>
      <w:numFmt w:val="decimal"/>
      <w:lvlText w:val="%7."/>
      <w:lvlJc w:val="left"/>
      <w:pPr>
        <w:ind w:left="5535" w:hanging="360"/>
      </w:pPr>
    </w:lvl>
    <w:lvl w:ilvl="7" w:tplc="04100019" w:tentative="1">
      <w:start w:val="1"/>
      <w:numFmt w:val="lowerLetter"/>
      <w:lvlText w:val="%8."/>
      <w:lvlJc w:val="left"/>
      <w:pPr>
        <w:ind w:left="6255" w:hanging="360"/>
      </w:pPr>
    </w:lvl>
    <w:lvl w:ilvl="8" w:tplc="0410001B" w:tentative="1">
      <w:start w:val="1"/>
      <w:numFmt w:val="lowerRoman"/>
      <w:lvlText w:val="%9."/>
      <w:lvlJc w:val="right"/>
      <w:pPr>
        <w:ind w:left="6975"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2"/>
  </w:num>
  <w:num w:numId="16" w16cid:durableId="1977102699">
    <w:abstractNumId w:val="21"/>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143789173">
    <w:abstractNumId w:val="20"/>
  </w:num>
  <w:num w:numId="24" w16cid:durableId="1558524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sFAOzIv8otAAAA"/>
  </w:docVars>
  <w:rsids>
    <w:rsidRoot w:val="000E414A"/>
    <w:rsid w:val="00000CCE"/>
    <w:rsid w:val="00000E25"/>
    <w:rsid w:val="000027C0"/>
    <w:rsid w:val="00003156"/>
    <w:rsid w:val="00004053"/>
    <w:rsid w:val="0000432E"/>
    <w:rsid w:val="000045C0"/>
    <w:rsid w:val="000052FB"/>
    <w:rsid w:val="00005865"/>
    <w:rsid w:val="00005A19"/>
    <w:rsid w:val="0000641B"/>
    <w:rsid w:val="000117CB"/>
    <w:rsid w:val="00012DE2"/>
    <w:rsid w:val="00014E27"/>
    <w:rsid w:val="000153C5"/>
    <w:rsid w:val="000165A0"/>
    <w:rsid w:val="00016FE6"/>
    <w:rsid w:val="00017A3B"/>
    <w:rsid w:val="0002285B"/>
    <w:rsid w:val="0003148D"/>
    <w:rsid w:val="000315C7"/>
    <w:rsid w:val="00031EEC"/>
    <w:rsid w:val="00032AD3"/>
    <w:rsid w:val="00034AA9"/>
    <w:rsid w:val="000356B6"/>
    <w:rsid w:val="000376A0"/>
    <w:rsid w:val="00041BA0"/>
    <w:rsid w:val="00044DD7"/>
    <w:rsid w:val="00045E11"/>
    <w:rsid w:val="00046D41"/>
    <w:rsid w:val="00047B51"/>
    <w:rsid w:val="00050C19"/>
    <w:rsid w:val="00051566"/>
    <w:rsid w:val="00054288"/>
    <w:rsid w:val="0005511C"/>
    <w:rsid w:val="00055CAE"/>
    <w:rsid w:val="000562A9"/>
    <w:rsid w:val="00056410"/>
    <w:rsid w:val="000570C2"/>
    <w:rsid w:val="00061F35"/>
    <w:rsid w:val="00062A9A"/>
    <w:rsid w:val="00063407"/>
    <w:rsid w:val="0006480F"/>
    <w:rsid w:val="00065058"/>
    <w:rsid w:val="00065F8A"/>
    <w:rsid w:val="00065FE6"/>
    <w:rsid w:val="00067258"/>
    <w:rsid w:val="00067534"/>
    <w:rsid w:val="00070581"/>
    <w:rsid w:val="00076560"/>
    <w:rsid w:val="00080667"/>
    <w:rsid w:val="0008069A"/>
    <w:rsid w:val="00080C48"/>
    <w:rsid w:val="00082217"/>
    <w:rsid w:val="00084A75"/>
    <w:rsid w:val="00084AC9"/>
    <w:rsid w:val="0008662C"/>
    <w:rsid w:val="00086C39"/>
    <w:rsid w:val="00086FB1"/>
    <w:rsid w:val="00087F2C"/>
    <w:rsid w:val="00090902"/>
    <w:rsid w:val="00091336"/>
    <w:rsid w:val="00092A16"/>
    <w:rsid w:val="00092C77"/>
    <w:rsid w:val="000931CE"/>
    <w:rsid w:val="00093C36"/>
    <w:rsid w:val="00094EB0"/>
    <w:rsid w:val="00095F06"/>
    <w:rsid w:val="00095F65"/>
    <w:rsid w:val="00096438"/>
    <w:rsid w:val="00096D63"/>
    <w:rsid w:val="000971EB"/>
    <w:rsid w:val="00097934"/>
    <w:rsid w:val="00097EE2"/>
    <w:rsid w:val="000A03B2"/>
    <w:rsid w:val="000A26DC"/>
    <w:rsid w:val="000A3048"/>
    <w:rsid w:val="000A50B9"/>
    <w:rsid w:val="000A6E45"/>
    <w:rsid w:val="000B1114"/>
    <w:rsid w:val="000C010C"/>
    <w:rsid w:val="000C198E"/>
    <w:rsid w:val="000C3ADB"/>
    <w:rsid w:val="000C46FE"/>
    <w:rsid w:val="000C57FE"/>
    <w:rsid w:val="000D014A"/>
    <w:rsid w:val="000D0268"/>
    <w:rsid w:val="000D2B2A"/>
    <w:rsid w:val="000D34BE"/>
    <w:rsid w:val="000D4773"/>
    <w:rsid w:val="000D6078"/>
    <w:rsid w:val="000D6877"/>
    <w:rsid w:val="000E04E2"/>
    <w:rsid w:val="000E102F"/>
    <w:rsid w:val="000E3262"/>
    <w:rsid w:val="000E36F1"/>
    <w:rsid w:val="000E3A73"/>
    <w:rsid w:val="000E414A"/>
    <w:rsid w:val="000E6395"/>
    <w:rsid w:val="000E64EB"/>
    <w:rsid w:val="000E69FE"/>
    <w:rsid w:val="000E7BB3"/>
    <w:rsid w:val="000F0367"/>
    <w:rsid w:val="000F05AE"/>
    <w:rsid w:val="000F093C"/>
    <w:rsid w:val="000F14B7"/>
    <w:rsid w:val="000F47A1"/>
    <w:rsid w:val="000F4C52"/>
    <w:rsid w:val="000F52ED"/>
    <w:rsid w:val="000F6F03"/>
    <w:rsid w:val="000F787B"/>
    <w:rsid w:val="001006DE"/>
    <w:rsid w:val="00102545"/>
    <w:rsid w:val="00102CCB"/>
    <w:rsid w:val="00103019"/>
    <w:rsid w:val="001039E6"/>
    <w:rsid w:val="001058BB"/>
    <w:rsid w:val="00106A94"/>
    <w:rsid w:val="00106C39"/>
    <w:rsid w:val="0010792A"/>
    <w:rsid w:val="001118A0"/>
    <w:rsid w:val="00115754"/>
    <w:rsid w:val="00115AFC"/>
    <w:rsid w:val="00116117"/>
    <w:rsid w:val="0012091F"/>
    <w:rsid w:val="00120B95"/>
    <w:rsid w:val="00120C0C"/>
    <w:rsid w:val="0012107E"/>
    <w:rsid w:val="00121BFE"/>
    <w:rsid w:val="00122438"/>
    <w:rsid w:val="0012317B"/>
    <w:rsid w:val="00123A4D"/>
    <w:rsid w:val="001248AC"/>
    <w:rsid w:val="00126141"/>
    <w:rsid w:val="00126BC2"/>
    <w:rsid w:val="00127428"/>
    <w:rsid w:val="00127768"/>
    <w:rsid w:val="00127EBB"/>
    <w:rsid w:val="001306A9"/>
    <w:rsid w:val="001308B6"/>
    <w:rsid w:val="0013121F"/>
    <w:rsid w:val="00131FE6"/>
    <w:rsid w:val="0013263F"/>
    <w:rsid w:val="001331DF"/>
    <w:rsid w:val="00133B35"/>
    <w:rsid w:val="00134C11"/>
    <w:rsid w:val="00134DE4"/>
    <w:rsid w:val="00135773"/>
    <w:rsid w:val="00135ABC"/>
    <w:rsid w:val="0014034D"/>
    <w:rsid w:val="00140935"/>
    <w:rsid w:val="001412ED"/>
    <w:rsid w:val="0014197C"/>
    <w:rsid w:val="00143C6B"/>
    <w:rsid w:val="00144641"/>
    <w:rsid w:val="00144D16"/>
    <w:rsid w:val="00150E59"/>
    <w:rsid w:val="00152742"/>
    <w:rsid w:val="00152DE3"/>
    <w:rsid w:val="001535C9"/>
    <w:rsid w:val="00154EE7"/>
    <w:rsid w:val="00160A31"/>
    <w:rsid w:val="00160C08"/>
    <w:rsid w:val="00161957"/>
    <w:rsid w:val="00161BEC"/>
    <w:rsid w:val="00162F3F"/>
    <w:rsid w:val="0016401F"/>
    <w:rsid w:val="00164CF9"/>
    <w:rsid w:val="001667A6"/>
    <w:rsid w:val="00170EBC"/>
    <w:rsid w:val="00172E8E"/>
    <w:rsid w:val="00173728"/>
    <w:rsid w:val="00175027"/>
    <w:rsid w:val="00180091"/>
    <w:rsid w:val="0018018E"/>
    <w:rsid w:val="001829AE"/>
    <w:rsid w:val="00184AD6"/>
    <w:rsid w:val="00185875"/>
    <w:rsid w:val="00185D69"/>
    <w:rsid w:val="0018644F"/>
    <w:rsid w:val="00191148"/>
    <w:rsid w:val="00193CE0"/>
    <w:rsid w:val="00193DE7"/>
    <w:rsid w:val="0019604C"/>
    <w:rsid w:val="00196A84"/>
    <w:rsid w:val="00196F9A"/>
    <w:rsid w:val="001A0B98"/>
    <w:rsid w:val="001A14F8"/>
    <w:rsid w:val="001A3197"/>
    <w:rsid w:val="001A4AF7"/>
    <w:rsid w:val="001A62EC"/>
    <w:rsid w:val="001A7869"/>
    <w:rsid w:val="001B0349"/>
    <w:rsid w:val="001B0D7D"/>
    <w:rsid w:val="001B19BD"/>
    <w:rsid w:val="001B1E93"/>
    <w:rsid w:val="001B3045"/>
    <w:rsid w:val="001B37D4"/>
    <w:rsid w:val="001B3CD7"/>
    <w:rsid w:val="001B3E64"/>
    <w:rsid w:val="001B50ED"/>
    <w:rsid w:val="001B5276"/>
    <w:rsid w:val="001B65C1"/>
    <w:rsid w:val="001C1250"/>
    <w:rsid w:val="001C1EA9"/>
    <w:rsid w:val="001C3732"/>
    <w:rsid w:val="001C5273"/>
    <w:rsid w:val="001C5D3D"/>
    <w:rsid w:val="001C62E3"/>
    <w:rsid w:val="001C684B"/>
    <w:rsid w:val="001C79C6"/>
    <w:rsid w:val="001D0CFB"/>
    <w:rsid w:val="001D21AF"/>
    <w:rsid w:val="001D53FC"/>
    <w:rsid w:val="001D7D4D"/>
    <w:rsid w:val="001E01A1"/>
    <w:rsid w:val="001E183C"/>
    <w:rsid w:val="001E35DB"/>
    <w:rsid w:val="001E6657"/>
    <w:rsid w:val="001E76FE"/>
    <w:rsid w:val="001E7772"/>
    <w:rsid w:val="001F15D7"/>
    <w:rsid w:val="001F176C"/>
    <w:rsid w:val="001F2997"/>
    <w:rsid w:val="001F42A5"/>
    <w:rsid w:val="001F7B9D"/>
    <w:rsid w:val="001F7F35"/>
    <w:rsid w:val="00200D0A"/>
    <w:rsid w:val="00200D61"/>
    <w:rsid w:val="00201C93"/>
    <w:rsid w:val="00205B6C"/>
    <w:rsid w:val="00210ED0"/>
    <w:rsid w:val="00212ACA"/>
    <w:rsid w:val="00217087"/>
    <w:rsid w:val="002172F3"/>
    <w:rsid w:val="00217D80"/>
    <w:rsid w:val="002224B4"/>
    <w:rsid w:val="00223099"/>
    <w:rsid w:val="00224055"/>
    <w:rsid w:val="00224254"/>
    <w:rsid w:val="002249F3"/>
    <w:rsid w:val="00226BC7"/>
    <w:rsid w:val="00232E2E"/>
    <w:rsid w:val="00233156"/>
    <w:rsid w:val="00234038"/>
    <w:rsid w:val="002340A0"/>
    <w:rsid w:val="00235557"/>
    <w:rsid w:val="00236508"/>
    <w:rsid w:val="00236738"/>
    <w:rsid w:val="00236A88"/>
    <w:rsid w:val="002372D4"/>
    <w:rsid w:val="00237D12"/>
    <w:rsid w:val="00240B5F"/>
    <w:rsid w:val="0024161C"/>
    <w:rsid w:val="00241E5C"/>
    <w:rsid w:val="002447EF"/>
    <w:rsid w:val="00245B85"/>
    <w:rsid w:val="00247897"/>
    <w:rsid w:val="00247FC3"/>
    <w:rsid w:val="0025129C"/>
    <w:rsid w:val="00251550"/>
    <w:rsid w:val="00254C6A"/>
    <w:rsid w:val="002553CC"/>
    <w:rsid w:val="002556E6"/>
    <w:rsid w:val="0025742A"/>
    <w:rsid w:val="00260088"/>
    <w:rsid w:val="00260788"/>
    <w:rsid w:val="002609B6"/>
    <w:rsid w:val="00260AE6"/>
    <w:rsid w:val="00263806"/>
    <w:rsid w:val="00263B05"/>
    <w:rsid w:val="0026485A"/>
    <w:rsid w:val="002661B4"/>
    <w:rsid w:val="0026621E"/>
    <w:rsid w:val="0027221A"/>
    <w:rsid w:val="002722EE"/>
    <w:rsid w:val="00272BBA"/>
    <w:rsid w:val="00273A21"/>
    <w:rsid w:val="00275884"/>
    <w:rsid w:val="00275B61"/>
    <w:rsid w:val="00280FAF"/>
    <w:rsid w:val="00282656"/>
    <w:rsid w:val="00282E48"/>
    <w:rsid w:val="00282F3A"/>
    <w:rsid w:val="00283FF5"/>
    <w:rsid w:val="002840FD"/>
    <w:rsid w:val="00284AA2"/>
    <w:rsid w:val="00285214"/>
    <w:rsid w:val="00285634"/>
    <w:rsid w:val="00286A48"/>
    <w:rsid w:val="0029005C"/>
    <w:rsid w:val="00290794"/>
    <w:rsid w:val="00291050"/>
    <w:rsid w:val="002918EC"/>
    <w:rsid w:val="002936D0"/>
    <w:rsid w:val="002956B6"/>
    <w:rsid w:val="00296B83"/>
    <w:rsid w:val="0029720A"/>
    <w:rsid w:val="002A12DE"/>
    <w:rsid w:val="002A2756"/>
    <w:rsid w:val="002A2C08"/>
    <w:rsid w:val="002A3888"/>
    <w:rsid w:val="002A399A"/>
    <w:rsid w:val="002A4BFC"/>
    <w:rsid w:val="002A4CD5"/>
    <w:rsid w:val="002B0A26"/>
    <w:rsid w:val="002B0BDE"/>
    <w:rsid w:val="002B1C28"/>
    <w:rsid w:val="002B26CB"/>
    <w:rsid w:val="002B3BC0"/>
    <w:rsid w:val="002B4015"/>
    <w:rsid w:val="002B6604"/>
    <w:rsid w:val="002B74B2"/>
    <w:rsid w:val="002B78CE"/>
    <w:rsid w:val="002B7A28"/>
    <w:rsid w:val="002C1427"/>
    <w:rsid w:val="002C2CD3"/>
    <w:rsid w:val="002C2FB6"/>
    <w:rsid w:val="002C52C4"/>
    <w:rsid w:val="002C7D78"/>
    <w:rsid w:val="002D1E2D"/>
    <w:rsid w:val="002D3111"/>
    <w:rsid w:val="002D3210"/>
    <w:rsid w:val="002D53B5"/>
    <w:rsid w:val="002D55B2"/>
    <w:rsid w:val="002E0B18"/>
    <w:rsid w:val="002E30DE"/>
    <w:rsid w:val="002E5FA7"/>
    <w:rsid w:val="002E7301"/>
    <w:rsid w:val="002F04AF"/>
    <w:rsid w:val="002F07A8"/>
    <w:rsid w:val="002F1C53"/>
    <w:rsid w:val="002F2279"/>
    <w:rsid w:val="002F26EB"/>
    <w:rsid w:val="002F3309"/>
    <w:rsid w:val="002F3C54"/>
    <w:rsid w:val="002F5EF2"/>
    <w:rsid w:val="003008CE"/>
    <w:rsid w:val="003009B7"/>
    <w:rsid w:val="00300DF7"/>
    <w:rsid w:val="00300E56"/>
    <w:rsid w:val="0030152C"/>
    <w:rsid w:val="00302ED5"/>
    <w:rsid w:val="00303A32"/>
    <w:rsid w:val="0030469C"/>
    <w:rsid w:val="00305CB8"/>
    <w:rsid w:val="003061DD"/>
    <w:rsid w:val="00307A18"/>
    <w:rsid w:val="00311CE3"/>
    <w:rsid w:val="0031425A"/>
    <w:rsid w:val="00314601"/>
    <w:rsid w:val="003201EC"/>
    <w:rsid w:val="00321CA6"/>
    <w:rsid w:val="00322217"/>
    <w:rsid w:val="0032263A"/>
    <w:rsid w:val="003229A3"/>
    <w:rsid w:val="00322C3B"/>
    <w:rsid w:val="00323763"/>
    <w:rsid w:val="003239C6"/>
    <w:rsid w:val="00323C5F"/>
    <w:rsid w:val="00324C5A"/>
    <w:rsid w:val="0032587A"/>
    <w:rsid w:val="00326333"/>
    <w:rsid w:val="003263A5"/>
    <w:rsid w:val="00326980"/>
    <w:rsid w:val="00330563"/>
    <w:rsid w:val="003317CD"/>
    <w:rsid w:val="0033218B"/>
    <w:rsid w:val="00332321"/>
    <w:rsid w:val="00333700"/>
    <w:rsid w:val="0033386C"/>
    <w:rsid w:val="00334C09"/>
    <w:rsid w:val="00335AE2"/>
    <w:rsid w:val="00335EE9"/>
    <w:rsid w:val="00340162"/>
    <w:rsid w:val="00341438"/>
    <w:rsid w:val="003414E3"/>
    <w:rsid w:val="00342D82"/>
    <w:rsid w:val="003441CB"/>
    <w:rsid w:val="0034560C"/>
    <w:rsid w:val="00350CDC"/>
    <w:rsid w:val="003514DD"/>
    <w:rsid w:val="00351A75"/>
    <w:rsid w:val="00351CBD"/>
    <w:rsid w:val="00354545"/>
    <w:rsid w:val="00355BE6"/>
    <w:rsid w:val="00355C31"/>
    <w:rsid w:val="00356692"/>
    <w:rsid w:val="00356BA5"/>
    <w:rsid w:val="00361770"/>
    <w:rsid w:val="00362F5A"/>
    <w:rsid w:val="00364333"/>
    <w:rsid w:val="003652CA"/>
    <w:rsid w:val="00366B7E"/>
    <w:rsid w:val="00370975"/>
    <w:rsid w:val="00371C44"/>
    <w:rsid w:val="003723D4"/>
    <w:rsid w:val="00373A88"/>
    <w:rsid w:val="00374821"/>
    <w:rsid w:val="00374F0E"/>
    <w:rsid w:val="003806DF"/>
    <w:rsid w:val="00381905"/>
    <w:rsid w:val="00381947"/>
    <w:rsid w:val="0038364D"/>
    <w:rsid w:val="00384008"/>
    <w:rsid w:val="003848B0"/>
    <w:rsid w:val="00384BB8"/>
    <w:rsid w:val="00384CC8"/>
    <w:rsid w:val="00385CC8"/>
    <w:rsid w:val="003871FD"/>
    <w:rsid w:val="0038761C"/>
    <w:rsid w:val="003876B3"/>
    <w:rsid w:val="0039191C"/>
    <w:rsid w:val="00392BFE"/>
    <w:rsid w:val="00393DB6"/>
    <w:rsid w:val="00394999"/>
    <w:rsid w:val="00395239"/>
    <w:rsid w:val="00395BDF"/>
    <w:rsid w:val="003A0C26"/>
    <w:rsid w:val="003A127A"/>
    <w:rsid w:val="003A1E30"/>
    <w:rsid w:val="003A2829"/>
    <w:rsid w:val="003A5879"/>
    <w:rsid w:val="003A5D39"/>
    <w:rsid w:val="003A7D1C"/>
    <w:rsid w:val="003B24D8"/>
    <w:rsid w:val="003B304B"/>
    <w:rsid w:val="003B3146"/>
    <w:rsid w:val="003B598D"/>
    <w:rsid w:val="003B6DD7"/>
    <w:rsid w:val="003C4BD9"/>
    <w:rsid w:val="003C7462"/>
    <w:rsid w:val="003C75C2"/>
    <w:rsid w:val="003D244B"/>
    <w:rsid w:val="003D32EB"/>
    <w:rsid w:val="003D4EFE"/>
    <w:rsid w:val="003E15A9"/>
    <w:rsid w:val="003E17AC"/>
    <w:rsid w:val="003E1814"/>
    <w:rsid w:val="003E1A69"/>
    <w:rsid w:val="003E6B4B"/>
    <w:rsid w:val="003E74D1"/>
    <w:rsid w:val="003F015E"/>
    <w:rsid w:val="003F2BD2"/>
    <w:rsid w:val="003F2DA3"/>
    <w:rsid w:val="00400414"/>
    <w:rsid w:val="004014E3"/>
    <w:rsid w:val="00403A8C"/>
    <w:rsid w:val="00404DD3"/>
    <w:rsid w:val="0040532E"/>
    <w:rsid w:val="00405BA1"/>
    <w:rsid w:val="00407E20"/>
    <w:rsid w:val="0041007A"/>
    <w:rsid w:val="0041443A"/>
    <w:rsid w:val="0041446B"/>
    <w:rsid w:val="004166C4"/>
    <w:rsid w:val="004207BF"/>
    <w:rsid w:val="00425BB1"/>
    <w:rsid w:val="0042686D"/>
    <w:rsid w:val="00427208"/>
    <w:rsid w:val="0043072C"/>
    <w:rsid w:val="00431D67"/>
    <w:rsid w:val="00432451"/>
    <w:rsid w:val="00434DAB"/>
    <w:rsid w:val="00437B0B"/>
    <w:rsid w:val="0044071E"/>
    <w:rsid w:val="00440E1D"/>
    <w:rsid w:val="00442C40"/>
    <w:rsid w:val="0044329C"/>
    <w:rsid w:val="00444513"/>
    <w:rsid w:val="0044728B"/>
    <w:rsid w:val="00447DF1"/>
    <w:rsid w:val="00450229"/>
    <w:rsid w:val="00451AAD"/>
    <w:rsid w:val="00453E24"/>
    <w:rsid w:val="00454809"/>
    <w:rsid w:val="00454944"/>
    <w:rsid w:val="00455FFB"/>
    <w:rsid w:val="0045643E"/>
    <w:rsid w:val="00456507"/>
    <w:rsid w:val="00456AE6"/>
    <w:rsid w:val="00457273"/>
    <w:rsid w:val="00457456"/>
    <w:rsid w:val="004577FE"/>
    <w:rsid w:val="00457B9C"/>
    <w:rsid w:val="0046164A"/>
    <w:rsid w:val="00461976"/>
    <w:rsid w:val="00462873"/>
    <w:rsid w:val="004628D2"/>
    <w:rsid w:val="00462DCD"/>
    <w:rsid w:val="004648AD"/>
    <w:rsid w:val="00465C91"/>
    <w:rsid w:val="00467C72"/>
    <w:rsid w:val="004703A9"/>
    <w:rsid w:val="004740A0"/>
    <w:rsid w:val="004743DE"/>
    <w:rsid w:val="004760DE"/>
    <w:rsid w:val="004763D7"/>
    <w:rsid w:val="004840BE"/>
    <w:rsid w:val="00485038"/>
    <w:rsid w:val="00485FD8"/>
    <w:rsid w:val="00486F24"/>
    <w:rsid w:val="00490045"/>
    <w:rsid w:val="00491517"/>
    <w:rsid w:val="00491759"/>
    <w:rsid w:val="00494CB2"/>
    <w:rsid w:val="004A004E"/>
    <w:rsid w:val="004A1985"/>
    <w:rsid w:val="004A1B31"/>
    <w:rsid w:val="004A24CF"/>
    <w:rsid w:val="004A6443"/>
    <w:rsid w:val="004A76E9"/>
    <w:rsid w:val="004A7C8A"/>
    <w:rsid w:val="004B31E2"/>
    <w:rsid w:val="004B356B"/>
    <w:rsid w:val="004B428A"/>
    <w:rsid w:val="004B42AF"/>
    <w:rsid w:val="004B509D"/>
    <w:rsid w:val="004B58BC"/>
    <w:rsid w:val="004B593C"/>
    <w:rsid w:val="004B5F19"/>
    <w:rsid w:val="004B6CA7"/>
    <w:rsid w:val="004B7017"/>
    <w:rsid w:val="004C15E7"/>
    <w:rsid w:val="004C3D1D"/>
    <w:rsid w:val="004C3D84"/>
    <w:rsid w:val="004C4C23"/>
    <w:rsid w:val="004C627F"/>
    <w:rsid w:val="004C7913"/>
    <w:rsid w:val="004C7BA0"/>
    <w:rsid w:val="004C7F28"/>
    <w:rsid w:val="004D069C"/>
    <w:rsid w:val="004D482F"/>
    <w:rsid w:val="004D57EC"/>
    <w:rsid w:val="004E383F"/>
    <w:rsid w:val="004E3E2B"/>
    <w:rsid w:val="004E4DD6"/>
    <w:rsid w:val="004E6D23"/>
    <w:rsid w:val="004F18D5"/>
    <w:rsid w:val="004F2413"/>
    <w:rsid w:val="004F526C"/>
    <w:rsid w:val="004F5E36"/>
    <w:rsid w:val="004F668D"/>
    <w:rsid w:val="00501B01"/>
    <w:rsid w:val="00506ED6"/>
    <w:rsid w:val="005077A8"/>
    <w:rsid w:val="00507B47"/>
    <w:rsid w:val="00507BEF"/>
    <w:rsid w:val="00507CC9"/>
    <w:rsid w:val="005119A5"/>
    <w:rsid w:val="005127F9"/>
    <w:rsid w:val="00513A10"/>
    <w:rsid w:val="0052156C"/>
    <w:rsid w:val="00521638"/>
    <w:rsid w:val="00521B00"/>
    <w:rsid w:val="00522970"/>
    <w:rsid w:val="00523353"/>
    <w:rsid w:val="00524394"/>
    <w:rsid w:val="005244E7"/>
    <w:rsid w:val="005259DA"/>
    <w:rsid w:val="005278B7"/>
    <w:rsid w:val="00531503"/>
    <w:rsid w:val="00531920"/>
    <w:rsid w:val="00532016"/>
    <w:rsid w:val="00532841"/>
    <w:rsid w:val="005330C5"/>
    <w:rsid w:val="005346C8"/>
    <w:rsid w:val="0053477D"/>
    <w:rsid w:val="0053533B"/>
    <w:rsid w:val="00535CF0"/>
    <w:rsid w:val="005360EE"/>
    <w:rsid w:val="00540906"/>
    <w:rsid w:val="005427B2"/>
    <w:rsid w:val="0054301B"/>
    <w:rsid w:val="00543676"/>
    <w:rsid w:val="00543E7D"/>
    <w:rsid w:val="005444A4"/>
    <w:rsid w:val="005446F1"/>
    <w:rsid w:val="00544F10"/>
    <w:rsid w:val="00545537"/>
    <w:rsid w:val="005456B0"/>
    <w:rsid w:val="00547A68"/>
    <w:rsid w:val="00552628"/>
    <w:rsid w:val="005531C9"/>
    <w:rsid w:val="00557E00"/>
    <w:rsid w:val="005600F8"/>
    <w:rsid w:val="00560460"/>
    <w:rsid w:val="00561ED2"/>
    <w:rsid w:val="0056259B"/>
    <w:rsid w:val="00562D0F"/>
    <w:rsid w:val="00567BDB"/>
    <w:rsid w:val="00570C43"/>
    <w:rsid w:val="005718D2"/>
    <w:rsid w:val="005749F3"/>
    <w:rsid w:val="00575209"/>
    <w:rsid w:val="0057655D"/>
    <w:rsid w:val="00576BA9"/>
    <w:rsid w:val="005806BE"/>
    <w:rsid w:val="00581B76"/>
    <w:rsid w:val="00583704"/>
    <w:rsid w:val="005838F3"/>
    <w:rsid w:val="005843FC"/>
    <w:rsid w:val="005846B0"/>
    <w:rsid w:val="005851EF"/>
    <w:rsid w:val="0058594C"/>
    <w:rsid w:val="00586F66"/>
    <w:rsid w:val="00594316"/>
    <w:rsid w:val="00596C29"/>
    <w:rsid w:val="005A277A"/>
    <w:rsid w:val="005A43A1"/>
    <w:rsid w:val="005A65EB"/>
    <w:rsid w:val="005B1D4F"/>
    <w:rsid w:val="005B2110"/>
    <w:rsid w:val="005B24FF"/>
    <w:rsid w:val="005B4065"/>
    <w:rsid w:val="005B61E6"/>
    <w:rsid w:val="005B6DE6"/>
    <w:rsid w:val="005C0149"/>
    <w:rsid w:val="005C0F91"/>
    <w:rsid w:val="005C2D7F"/>
    <w:rsid w:val="005C77E1"/>
    <w:rsid w:val="005D0F25"/>
    <w:rsid w:val="005D194F"/>
    <w:rsid w:val="005D40AC"/>
    <w:rsid w:val="005D4239"/>
    <w:rsid w:val="005D4B85"/>
    <w:rsid w:val="005D668A"/>
    <w:rsid w:val="005D6A2F"/>
    <w:rsid w:val="005D7E4D"/>
    <w:rsid w:val="005E088C"/>
    <w:rsid w:val="005E0EB6"/>
    <w:rsid w:val="005E12DF"/>
    <w:rsid w:val="005E144C"/>
    <w:rsid w:val="005E1827"/>
    <w:rsid w:val="005E1A82"/>
    <w:rsid w:val="005E3018"/>
    <w:rsid w:val="005E351E"/>
    <w:rsid w:val="005E46E3"/>
    <w:rsid w:val="005E794C"/>
    <w:rsid w:val="005F0A28"/>
    <w:rsid w:val="005F0E5E"/>
    <w:rsid w:val="005F2207"/>
    <w:rsid w:val="005F365E"/>
    <w:rsid w:val="005F3E12"/>
    <w:rsid w:val="005F4186"/>
    <w:rsid w:val="005F4EAC"/>
    <w:rsid w:val="005F554A"/>
    <w:rsid w:val="005F5D88"/>
    <w:rsid w:val="005F61D4"/>
    <w:rsid w:val="005F6407"/>
    <w:rsid w:val="00600535"/>
    <w:rsid w:val="0060462D"/>
    <w:rsid w:val="00604A33"/>
    <w:rsid w:val="00604E52"/>
    <w:rsid w:val="0060519B"/>
    <w:rsid w:val="00606028"/>
    <w:rsid w:val="00607DA0"/>
    <w:rsid w:val="00610CD6"/>
    <w:rsid w:val="006112C7"/>
    <w:rsid w:val="00614FD8"/>
    <w:rsid w:val="006200EE"/>
    <w:rsid w:val="00620DEE"/>
    <w:rsid w:val="00621AC4"/>
    <w:rsid w:val="00621F92"/>
    <w:rsid w:val="0062280A"/>
    <w:rsid w:val="00622C41"/>
    <w:rsid w:val="00622EA1"/>
    <w:rsid w:val="0062379B"/>
    <w:rsid w:val="00625639"/>
    <w:rsid w:val="00626DE6"/>
    <w:rsid w:val="00627B4B"/>
    <w:rsid w:val="006301F4"/>
    <w:rsid w:val="00631B33"/>
    <w:rsid w:val="006330AB"/>
    <w:rsid w:val="00634C78"/>
    <w:rsid w:val="0063562B"/>
    <w:rsid w:val="00641491"/>
    <w:rsid w:val="0064184D"/>
    <w:rsid w:val="006422CC"/>
    <w:rsid w:val="0064432E"/>
    <w:rsid w:val="0064562E"/>
    <w:rsid w:val="00650A41"/>
    <w:rsid w:val="00650D70"/>
    <w:rsid w:val="006521BF"/>
    <w:rsid w:val="00653D2A"/>
    <w:rsid w:val="006540E2"/>
    <w:rsid w:val="00655086"/>
    <w:rsid w:val="00656BFE"/>
    <w:rsid w:val="006573F5"/>
    <w:rsid w:val="00660E3E"/>
    <w:rsid w:val="006610D3"/>
    <w:rsid w:val="00662E74"/>
    <w:rsid w:val="0066562C"/>
    <w:rsid w:val="006670D6"/>
    <w:rsid w:val="0067160E"/>
    <w:rsid w:val="00671EAA"/>
    <w:rsid w:val="006723A5"/>
    <w:rsid w:val="006752FA"/>
    <w:rsid w:val="00677BD7"/>
    <w:rsid w:val="00680C23"/>
    <w:rsid w:val="00680CD9"/>
    <w:rsid w:val="00681460"/>
    <w:rsid w:val="00681857"/>
    <w:rsid w:val="00681F6D"/>
    <w:rsid w:val="0068462F"/>
    <w:rsid w:val="0068484F"/>
    <w:rsid w:val="00684ED0"/>
    <w:rsid w:val="00685F1D"/>
    <w:rsid w:val="006900E6"/>
    <w:rsid w:val="00690773"/>
    <w:rsid w:val="00692020"/>
    <w:rsid w:val="00692270"/>
    <w:rsid w:val="006923A6"/>
    <w:rsid w:val="006923CA"/>
    <w:rsid w:val="00693766"/>
    <w:rsid w:val="00693C3B"/>
    <w:rsid w:val="00693FE2"/>
    <w:rsid w:val="00694013"/>
    <w:rsid w:val="00694236"/>
    <w:rsid w:val="006A3281"/>
    <w:rsid w:val="006A3DD0"/>
    <w:rsid w:val="006A460D"/>
    <w:rsid w:val="006A5115"/>
    <w:rsid w:val="006A5F8D"/>
    <w:rsid w:val="006A68A0"/>
    <w:rsid w:val="006B101C"/>
    <w:rsid w:val="006B15FD"/>
    <w:rsid w:val="006B21A4"/>
    <w:rsid w:val="006B2AC1"/>
    <w:rsid w:val="006B3FBE"/>
    <w:rsid w:val="006B4888"/>
    <w:rsid w:val="006B5987"/>
    <w:rsid w:val="006B77E1"/>
    <w:rsid w:val="006C04DC"/>
    <w:rsid w:val="006C076D"/>
    <w:rsid w:val="006C29E6"/>
    <w:rsid w:val="006C2C54"/>
    <w:rsid w:val="006C2E45"/>
    <w:rsid w:val="006C359C"/>
    <w:rsid w:val="006C448D"/>
    <w:rsid w:val="006C5579"/>
    <w:rsid w:val="006D2764"/>
    <w:rsid w:val="006D6E8B"/>
    <w:rsid w:val="006E0D07"/>
    <w:rsid w:val="006E1385"/>
    <w:rsid w:val="006E1CF3"/>
    <w:rsid w:val="006E22AB"/>
    <w:rsid w:val="006E2894"/>
    <w:rsid w:val="006E2B62"/>
    <w:rsid w:val="006E62CE"/>
    <w:rsid w:val="006E737D"/>
    <w:rsid w:val="006E7B92"/>
    <w:rsid w:val="006F0235"/>
    <w:rsid w:val="006F0488"/>
    <w:rsid w:val="006F09F0"/>
    <w:rsid w:val="006F1352"/>
    <w:rsid w:val="006F14FC"/>
    <w:rsid w:val="006F167A"/>
    <w:rsid w:val="006F1693"/>
    <w:rsid w:val="006F35BA"/>
    <w:rsid w:val="006F39F5"/>
    <w:rsid w:val="00704428"/>
    <w:rsid w:val="00704D6F"/>
    <w:rsid w:val="0070708B"/>
    <w:rsid w:val="00707DD1"/>
    <w:rsid w:val="007105A9"/>
    <w:rsid w:val="00710865"/>
    <w:rsid w:val="00711BA6"/>
    <w:rsid w:val="00712089"/>
    <w:rsid w:val="00713973"/>
    <w:rsid w:val="007167AA"/>
    <w:rsid w:val="00717075"/>
    <w:rsid w:val="007176EC"/>
    <w:rsid w:val="00720831"/>
    <w:rsid w:val="00720A24"/>
    <w:rsid w:val="00720C24"/>
    <w:rsid w:val="00720D8A"/>
    <w:rsid w:val="007217E1"/>
    <w:rsid w:val="00721CC5"/>
    <w:rsid w:val="00722421"/>
    <w:rsid w:val="00723C6B"/>
    <w:rsid w:val="00725C82"/>
    <w:rsid w:val="007266A1"/>
    <w:rsid w:val="007307DB"/>
    <w:rsid w:val="00731E5C"/>
    <w:rsid w:val="00732386"/>
    <w:rsid w:val="0073350D"/>
    <w:rsid w:val="0073514D"/>
    <w:rsid w:val="00735400"/>
    <w:rsid w:val="00735859"/>
    <w:rsid w:val="00740708"/>
    <w:rsid w:val="007414D1"/>
    <w:rsid w:val="00741CA9"/>
    <w:rsid w:val="007447F3"/>
    <w:rsid w:val="007465D7"/>
    <w:rsid w:val="007466BB"/>
    <w:rsid w:val="007517FE"/>
    <w:rsid w:val="0075499F"/>
    <w:rsid w:val="00754EBF"/>
    <w:rsid w:val="0075696D"/>
    <w:rsid w:val="0076095E"/>
    <w:rsid w:val="007612D2"/>
    <w:rsid w:val="007635E2"/>
    <w:rsid w:val="0076439B"/>
    <w:rsid w:val="00764E3A"/>
    <w:rsid w:val="0076588B"/>
    <w:rsid w:val="00765C43"/>
    <w:rsid w:val="007661C8"/>
    <w:rsid w:val="007669F6"/>
    <w:rsid w:val="0076791D"/>
    <w:rsid w:val="0077098D"/>
    <w:rsid w:val="00771136"/>
    <w:rsid w:val="00772F09"/>
    <w:rsid w:val="007742E0"/>
    <w:rsid w:val="00774C95"/>
    <w:rsid w:val="00777685"/>
    <w:rsid w:val="00781823"/>
    <w:rsid w:val="00785BE8"/>
    <w:rsid w:val="0078608D"/>
    <w:rsid w:val="0078767B"/>
    <w:rsid w:val="00790CC9"/>
    <w:rsid w:val="0079138E"/>
    <w:rsid w:val="007918C1"/>
    <w:rsid w:val="007931FA"/>
    <w:rsid w:val="00793FDC"/>
    <w:rsid w:val="0079488B"/>
    <w:rsid w:val="00796547"/>
    <w:rsid w:val="00796C66"/>
    <w:rsid w:val="00796F63"/>
    <w:rsid w:val="00797C04"/>
    <w:rsid w:val="007A154E"/>
    <w:rsid w:val="007A1F0D"/>
    <w:rsid w:val="007A2AD9"/>
    <w:rsid w:val="007A4861"/>
    <w:rsid w:val="007A5F63"/>
    <w:rsid w:val="007A7BBA"/>
    <w:rsid w:val="007B068A"/>
    <w:rsid w:val="007B0C50"/>
    <w:rsid w:val="007B2B2F"/>
    <w:rsid w:val="007B48F9"/>
    <w:rsid w:val="007B78A2"/>
    <w:rsid w:val="007C17FB"/>
    <w:rsid w:val="007C1A43"/>
    <w:rsid w:val="007C388E"/>
    <w:rsid w:val="007D0951"/>
    <w:rsid w:val="007D35AE"/>
    <w:rsid w:val="007D3A37"/>
    <w:rsid w:val="007D490A"/>
    <w:rsid w:val="007D4ACA"/>
    <w:rsid w:val="007D5451"/>
    <w:rsid w:val="007D699B"/>
    <w:rsid w:val="007D6BA1"/>
    <w:rsid w:val="007D6EB7"/>
    <w:rsid w:val="007D7DB6"/>
    <w:rsid w:val="007E02BA"/>
    <w:rsid w:val="007E04C8"/>
    <w:rsid w:val="007E0BC5"/>
    <w:rsid w:val="007E271C"/>
    <w:rsid w:val="007E5B49"/>
    <w:rsid w:val="007E5F4F"/>
    <w:rsid w:val="007F177C"/>
    <w:rsid w:val="007F4FCA"/>
    <w:rsid w:val="007F59CC"/>
    <w:rsid w:val="007F5A13"/>
    <w:rsid w:val="007F68C6"/>
    <w:rsid w:val="0080013E"/>
    <w:rsid w:val="00800952"/>
    <w:rsid w:val="00801A23"/>
    <w:rsid w:val="00801C71"/>
    <w:rsid w:val="00804BC7"/>
    <w:rsid w:val="00806F29"/>
    <w:rsid w:val="00807EE4"/>
    <w:rsid w:val="00810965"/>
    <w:rsid w:val="008125C5"/>
    <w:rsid w:val="00813288"/>
    <w:rsid w:val="00813552"/>
    <w:rsid w:val="0081513C"/>
    <w:rsid w:val="00815274"/>
    <w:rsid w:val="008159F1"/>
    <w:rsid w:val="008168FC"/>
    <w:rsid w:val="0082134F"/>
    <w:rsid w:val="0082138D"/>
    <w:rsid w:val="00821645"/>
    <w:rsid w:val="008232C0"/>
    <w:rsid w:val="00827EAD"/>
    <w:rsid w:val="00827EC0"/>
    <w:rsid w:val="00830996"/>
    <w:rsid w:val="00830AC9"/>
    <w:rsid w:val="00832F48"/>
    <w:rsid w:val="00833586"/>
    <w:rsid w:val="008335F9"/>
    <w:rsid w:val="008345F1"/>
    <w:rsid w:val="008346E8"/>
    <w:rsid w:val="00835E69"/>
    <w:rsid w:val="00835F00"/>
    <w:rsid w:val="008360D4"/>
    <w:rsid w:val="00836B4E"/>
    <w:rsid w:val="008452D4"/>
    <w:rsid w:val="00845B41"/>
    <w:rsid w:val="008465AE"/>
    <w:rsid w:val="00847317"/>
    <w:rsid w:val="00847519"/>
    <w:rsid w:val="00847D60"/>
    <w:rsid w:val="0085236D"/>
    <w:rsid w:val="008523E7"/>
    <w:rsid w:val="00853171"/>
    <w:rsid w:val="0085361B"/>
    <w:rsid w:val="0085589F"/>
    <w:rsid w:val="00857ECE"/>
    <w:rsid w:val="00860726"/>
    <w:rsid w:val="00863471"/>
    <w:rsid w:val="008635B8"/>
    <w:rsid w:val="00865B07"/>
    <w:rsid w:val="008667EA"/>
    <w:rsid w:val="008708C1"/>
    <w:rsid w:val="00870A70"/>
    <w:rsid w:val="00870DE3"/>
    <w:rsid w:val="00872C8F"/>
    <w:rsid w:val="008731CD"/>
    <w:rsid w:val="0087637F"/>
    <w:rsid w:val="008772E2"/>
    <w:rsid w:val="00877ADE"/>
    <w:rsid w:val="00877EDE"/>
    <w:rsid w:val="0088156C"/>
    <w:rsid w:val="00883257"/>
    <w:rsid w:val="00883F24"/>
    <w:rsid w:val="0088775D"/>
    <w:rsid w:val="00892AD5"/>
    <w:rsid w:val="0089664E"/>
    <w:rsid w:val="00896FCC"/>
    <w:rsid w:val="008974CC"/>
    <w:rsid w:val="008A1512"/>
    <w:rsid w:val="008A46E3"/>
    <w:rsid w:val="008A4C57"/>
    <w:rsid w:val="008A6BF7"/>
    <w:rsid w:val="008B3151"/>
    <w:rsid w:val="008B3157"/>
    <w:rsid w:val="008B3801"/>
    <w:rsid w:val="008B3C28"/>
    <w:rsid w:val="008B3C8C"/>
    <w:rsid w:val="008B6E65"/>
    <w:rsid w:val="008B7EC5"/>
    <w:rsid w:val="008C1134"/>
    <w:rsid w:val="008C32EE"/>
    <w:rsid w:val="008C3D40"/>
    <w:rsid w:val="008C63C2"/>
    <w:rsid w:val="008D0C23"/>
    <w:rsid w:val="008D14E5"/>
    <w:rsid w:val="008D2382"/>
    <w:rsid w:val="008D24CF"/>
    <w:rsid w:val="008D32B9"/>
    <w:rsid w:val="008D35A0"/>
    <w:rsid w:val="008D433B"/>
    <w:rsid w:val="008D4A16"/>
    <w:rsid w:val="008D7BBF"/>
    <w:rsid w:val="008D7C24"/>
    <w:rsid w:val="008E33F2"/>
    <w:rsid w:val="008E5471"/>
    <w:rsid w:val="008E566E"/>
    <w:rsid w:val="008E58F7"/>
    <w:rsid w:val="008E6560"/>
    <w:rsid w:val="008E685C"/>
    <w:rsid w:val="008E72B8"/>
    <w:rsid w:val="008E7D0C"/>
    <w:rsid w:val="008F01EE"/>
    <w:rsid w:val="008F0ACF"/>
    <w:rsid w:val="008F0ED4"/>
    <w:rsid w:val="008F1C88"/>
    <w:rsid w:val="008F2851"/>
    <w:rsid w:val="008F2BBE"/>
    <w:rsid w:val="008F3E90"/>
    <w:rsid w:val="008F439F"/>
    <w:rsid w:val="008F51A2"/>
    <w:rsid w:val="008F54A6"/>
    <w:rsid w:val="0090161A"/>
    <w:rsid w:val="00901EB6"/>
    <w:rsid w:val="00902175"/>
    <w:rsid w:val="009030B6"/>
    <w:rsid w:val="00903B85"/>
    <w:rsid w:val="00903DEC"/>
    <w:rsid w:val="00904C62"/>
    <w:rsid w:val="009053C0"/>
    <w:rsid w:val="00911916"/>
    <w:rsid w:val="00914DC6"/>
    <w:rsid w:val="00914DCC"/>
    <w:rsid w:val="009202F4"/>
    <w:rsid w:val="0092142D"/>
    <w:rsid w:val="0092255E"/>
    <w:rsid w:val="00922BA8"/>
    <w:rsid w:val="00924DAC"/>
    <w:rsid w:val="00925A3D"/>
    <w:rsid w:val="00926211"/>
    <w:rsid w:val="0092699B"/>
    <w:rsid w:val="00927058"/>
    <w:rsid w:val="009273D6"/>
    <w:rsid w:val="009303EB"/>
    <w:rsid w:val="009353CE"/>
    <w:rsid w:val="00935888"/>
    <w:rsid w:val="00935F58"/>
    <w:rsid w:val="0093623F"/>
    <w:rsid w:val="0093730A"/>
    <w:rsid w:val="00937BE5"/>
    <w:rsid w:val="00937F47"/>
    <w:rsid w:val="00940981"/>
    <w:rsid w:val="00942750"/>
    <w:rsid w:val="009450CE"/>
    <w:rsid w:val="009459BB"/>
    <w:rsid w:val="0094715B"/>
    <w:rsid w:val="00947179"/>
    <w:rsid w:val="009471D6"/>
    <w:rsid w:val="00950CA0"/>
    <w:rsid w:val="009511E6"/>
    <w:rsid w:val="0095164B"/>
    <w:rsid w:val="0095170A"/>
    <w:rsid w:val="00952FFE"/>
    <w:rsid w:val="009532C5"/>
    <w:rsid w:val="00954090"/>
    <w:rsid w:val="009545E6"/>
    <w:rsid w:val="009573E7"/>
    <w:rsid w:val="00963131"/>
    <w:rsid w:val="00963E05"/>
    <w:rsid w:val="00964A45"/>
    <w:rsid w:val="00966799"/>
    <w:rsid w:val="00967843"/>
    <w:rsid w:val="00967D54"/>
    <w:rsid w:val="00971028"/>
    <w:rsid w:val="00972933"/>
    <w:rsid w:val="00972DF4"/>
    <w:rsid w:val="00974813"/>
    <w:rsid w:val="00975E8D"/>
    <w:rsid w:val="00977D38"/>
    <w:rsid w:val="0098265A"/>
    <w:rsid w:val="00982D21"/>
    <w:rsid w:val="00984040"/>
    <w:rsid w:val="009843EA"/>
    <w:rsid w:val="00984DD7"/>
    <w:rsid w:val="0098644D"/>
    <w:rsid w:val="009879B4"/>
    <w:rsid w:val="00990350"/>
    <w:rsid w:val="009903E7"/>
    <w:rsid w:val="0099104D"/>
    <w:rsid w:val="00991570"/>
    <w:rsid w:val="00991BD3"/>
    <w:rsid w:val="00993B84"/>
    <w:rsid w:val="0099510A"/>
    <w:rsid w:val="00995A93"/>
    <w:rsid w:val="00995E6C"/>
    <w:rsid w:val="00996483"/>
    <w:rsid w:val="009964C7"/>
    <w:rsid w:val="00996F5A"/>
    <w:rsid w:val="009A2D5E"/>
    <w:rsid w:val="009A416D"/>
    <w:rsid w:val="009A4AF7"/>
    <w:rsid w:val="009A6AEA"/>
    <w:rsid w:val="009A6B33"/>
    <w:rsid w:val="009B03F0"/>
    <w:rsid w:val="009B041A"/>
    <w:rsid w:val="009B057C"/>
    <w:rsid w:val="009B4161"/>
    <w:rsid w:val="009B49E0"/>
    <w:rsid w:val="009B613D"/>
    <w:rsid w:val="009C355F"/>
    <w:rsid w:val="009C37C3"/>
    <w:rsid w:val="009C6640"/>
    <w:rsid w:val="009C75EB"/>
    <w:rsid w:val="009C7C86"/>
    <w:rsid w:val="009D2FF7"/>
    <w:rsid w:val="009D573D"/>
    <w:rsid w:val="009D7A13"/>
    <w:rsid w:val="009E20A3"/>
    <w:rsid w:val="009E2706"/>
    <w:rsid w:val="009E30F8"/>
    <w:rsid w:val="009E34B1"/>
    <w:rsid w:val="009E4FB0"/>
    <w:rsid w:val="009E50CF"/>
    <w:rsid w:val="009E7884"/>
    <w:rsid w:val="009E788A"/>
    <w:rsid w:val="009E7AE3"/>
    <w:rsid w:val="009F0E08"/>
    <w:rsid w:val="009F2D16"/>
    <w:rsid w:val="009F4B1C"/>
    <w:rsid w:val="009F4B36"/>
    <w:rsid w:val="009F7C1E"/>
    <w:rsid w:val="00A01048"/>
    <w:rsid w:val="00A013C9"/>
    <w:rsid w:val="00A039C9"/>
    <w:rsid w:val="00A03A70"/>
    <w:rsid w:val="00A04429"/>
    <w:rsid w:val="00A04865"/>
    <w:rsid w:val="00A05471"/>
    <w:rsid w:val="00A065C3"/>
    <w:rsid w:val="00A07272"/>
    <w:rsid w:val="00A1036F"/>
    <w:rsid w:val="00A105A4"/>
    <w:rsid w:val="00A13472"/>
    <w:rsid w:val="00A1763D"/>
    <w:rsid w:val="00A17CEC"/>
    <w:rsid w:val="00A209FD"/>
    <w:rsid w:val="00A24E34"/>
    <w:rsid w:val="00A25BBB"/>
    <w:rsid w:val="00A26752"/>
    <w:rsid w:val="00A27EF0"/>
    <w:rsid w:val="00A30ACD"/>
    <w:rsid w:val="00A312CB"/>
    <w:rsid w:val="00A32417"/>
    <w:rsid w:val="00A3291E"/>
    <w:rsid w:val="00A34AA7"/>
    <w:rsid w:val="00A34B27"/>
    <w:rsid w:val="00A36A1D"/>
    <w:rsid w:val="00A42058"/>
    <w:rsid w:val="00A42361"/>
    <w:rsid w:val="00A42ECE"/>
    <w:rsid w:val="00A4486B"/>
    <w:rsid w:val="00A459A9"/>
    <w:rsid w:val="00A46306"/>
    <w:rsid w:val="00A4772C"/>
    <w:rsid w:val="00A50B20"/>
    <w:rsid w:val="00A50DE4"/>
    <w:rsid w:val="00A510F6"/>
    <w:rsid w:val="00A51390"/>
    <w:rsid w:val="00A51C2C"/>
    <w:rsid w:val="00A52CBD"/>
    <w:rsid w:val="00A52E83"/>
    <w:rsid w:val="00A55BF5"/>
    <w:rsid w:val="00A57374"/>
    <w:rsid w:val="00A57A11"/>
    <w:rsid w:val="00A60D13"/>
    <w:rsid w:val="00A61969"/>
    <w:rsid w:val="00A62782"/>
    <w:rsid w:val="00A62BDB"/>
    <w:rsid w:val="00A675A9"/>
    <w:rsid w:val="00A70BD4"/>
    <w:rsid w:val="00A714EF"/>
    <w:rsid w:val="00A71784"/>
    <w:rsid w:val="00A7223D"/>
    <w:rsid w:val="00A72483"/>
    <w:rsid w:val="00A72745"/>
    <w:rsid w:val="00A727C4"/>
    <w:rsid w:val="00A7306C"/>
    <w:rsid w:val="00A73535"/>
    <w:rsid w:val="00A76EFC"/>
    <w:rsid w:val="00A83E76"/>
    <w:rsid w:val="00A86A1C"/>
    <w:rsid w:val="00A872AA"/>
    <w:rsid w:val="00A875DD"/>
    <w:rsid w:val="00A878C6"/>
    <w:rsid w:val="00A87D50"/>
    <w:rsid w:val="00A9092C"/>
    <w:rsid w:val="00A91010"/>
    <w:rsid w:val="00A912EB"/>
    <w:rsid w:val="00A919C4"/>
    <w:rsid w:val="00A94C3F"/>
    <w:rsid w:val="00A95E76"/>
    <w:rsid w:val="00A97F29"/>
    <w:rsid w:val="00AA0FFA"/>
    <w:rsid w:val="00AA2F13"/>
    <w:rsid w:val="00AA5794"/>
    <w:rsid w:val="00AA639F"/>
    <w:rsid w:val="00AA702E"/>
    <w:rsid w:val="00AA7D26"/>
    <w:rsid w:val="00AB0964"/>
    <w:rsid w:val="00AB26A3"/>
    <w:rsid w:val="00AB27F3"/>
    <w:rsid w:val="00AB4112"/>
    <w:rsid w:val="00AB5011"/>
    <w:rsid w:val="00AB667B"/>
    <w:rsid w:val="00AB69E6"/>
    <w:rsid w:val="00AB73A5"/>
    <w:rsid w:val="00AC161D"/>
    <w:rsid w:val="00AC2E07"/>
    <w:rsid w:val="00AC5F11"/>
    <w:rsid w:val="00AC6F79"/>
    <w:rsid w:val="00AC7368"/>
    <w:rsid w:val="00AC7814"/>
    <w:rsid w:val="00AC7BEE"/>
    <w:rsid w:val="00AD0B52"/>
    <w:rsid w:val="00AD16B9"/>
    <w:rsid w:val="00AD2C0F"/>
    <w:rsid w:val="00AD34B1"/>
    <w:rsid w:val="00AD360A"/>
    <w:rsid w:val="00AD4CCE"/>
    <w:rsid w:val="00AD4CE1"/>
    <w:rsid w:val="00AD5484"/>
    <w:rsid w:val="00AD67A8"/>
    <w:rsid w:val="00AD7D21"/>
    <w:rsid w:val="00AE10A4"/>
    <w:rsid w:val="00AE2BDE"/>
    <w:rsid w:val="00AE377D"/>
    <w:rsid w:val="00AE697F"/>
    <w:rsid w:val="00AE73BE"/>
    <w:rsid w:val="00AE7944"/>
    <w:rsid w:val="00AE7FA1"/>
    <w:rsid w:val="00AF062E"/>
    <w:rsid w:val="00AF0DBF"/>
    <w:rsid w:val="00AF0EBA"/>
    <w:rsid w:val="00AF12FB"/>
    <w:rsid w:val="00AF362C"/>
    <w:rsid w:val="00AF37AA"/>
    <w:rsid w:val="00AF46C8"/>
    <w:rsid w:val="00AF7747"/>
    <w:rsid w:val="00B00A24"/>
    <w:rsid w:val="00B00CD6"/>
    <w:rsid w:val="00B029D2"/>
    <w:rsid w:val="00B02C29"/>
    <w:rsid w:val="00B02C8A"/>
    <w:rsid w:val="00B03AAC"/>
    <w:rsid w:val="00B05DFD"/>
    <w:rsid w:val="00B06351"/>
    <w:rsid w:val="00B076B2"/>
    <w:rsid w:val="00B10E57"/>
    <w:rsid w:val="00B126DC"/>
    <w:rsid w:val="00B14B74"/>
    <w:rsid w:val="00B150E4"/>
    <w:rsid w:val="00B15F31"/>
    <w:rsid w:val="00B17FBD"/>
    <w:rsid w:val="00B20458"/>
    <w:rsid w:val="00B2136F"/>
    <w:rsid w:val="00B21AD4"/>
    <w:rsid w:val="00B22279"/>
    <w:rsid w:val="00B23ECE"/>
    <w:rsid w:val="00B25021"/>
    <w:rsid w:val="00B25624"/>
    <w:rsid w:val="00B27BF8"/>
    <w:rsid w:val="00B315A6"/>
    <w:rsid w:val="00B31813"/>
    <w:rsid w:val="00B3249E"/>
    <w:rsid w:val="00B33143"/>
    <w:rsid w:val="00B33365"/>
    <w:rsid w:val="00B345D7"/>
    <w:rsid w:val="00B356CA"/>
    <w:rsid w:val="00B35AAC"/>
    <w:rsid w:val="00B41176"/>
    <w:rsid w:val="00B423FD"/>
    <w:rsid w:val="00B4282D"/>
    <w:rsid w:val="00B43B4A"/>
    <w:rsid w:val="00B43E0B"/>
    <w:rsid w:val="00B43E83"/>
    <w:rsid w:val="00B441B2"/>
    <w:rsid w:val="00B447DC"/>
    <w:rsid w:val="00B44998"/>
    <w:rsid w:val="00B46C70"/>
    <w:rsid w:val="00B47F23"/>
    <w:rsid w:val="00B47F53"/>
    <w:rsid w:val="00B50CBC"/>
    <w:rsid w:val="00B52FA3"/>
    <w:rsid w:val="00B548B1"/>
    <w:rsid w:val="00B54DFD"/>
    <w:rsid w:val="00B57B36"/>
    <w:rsid w:val="00B57BC6"/>
    <w:rsid w:val="00B57E6F"/>
    <w:rsid w:val="00B6327B"/>
    <w:rsid w:val="00B656B2"/>
    <w:rsid w:val="00B666FF"/>
    <w:rsid w:val="00B676F2"/>
    <w:rsid w:val="00B7034B"/>
    <w:rsid w:val="00B70F63"/>
    <w:rsid w:val="00B71C06"/>
    <w:rsid w:val="00B71F37"/>
    <w:rsid w:val="00B73AB2"/>
    <w:rsid w:val="00B75579"/>
    <w:rsid w:val="00B8452A"/>
    <w:rsid w:val="00B8686D"/>
    <w:rsid w:val="00B86C38"/>
    <w:rsid w:val="00B927F0"/>
    <w:rsid w:val="00B93F69"/>
    <w:rsid w:val="00B94779"/>
    <w:rsid w:val="00B96DC9"/>
    <w:rsid w:val="00B97C39"/>
    <w:rsid w:val="00BA408D"/>
    <w:rsid w:val="00BA4CEA"/>
    <w:rsid w:val="00BA7824"/>
    <w:rsid w:val="00BB1DDC"/>
    <w:rsid w:val="00BB3202"/>
    <w:rsid w:val="00BB45E8"/>
    <w:rsid w:val="00BB51CF"/>
    <w:rsid w:val="00BB51DC"/>
    <w:rsid w:val="00BB5D06"/>
    <w:rsid w:val="00BB6319"/>
    <w:rsid w:val="00BC1EB0"/>
    <w:rsid w:val="00BC30C9"/>
    <w:rsid w:val="00BC32F8"/>
    <w:rsid w:val="00BC4B9A"/>
    <w:rsid w:val="00BC4F74"/>
    <w:rsid w:val="00BD077D"/>
    <w:rsid w:val="00BD13C2"/>
    <w:rsid w:val="00BD2394"/>
    <w:rsid w:val="00BD3B17"/>
    <w:rsid w:val="00BD4F1B"/>
    <w:rsid w:val="00BD66E7"/>
    <w:rsid w:val="00BE060B"/>
    <w:rsid w:val="00BE0C5F"/>
    <w:rsid w:val="00BE34B0"/>
    <w:rsid w:val="00BE3E58"/>
    <w:rsid w:val="00BE48AB"/>
    <w:rsid w:val="00BE5458"/>
    <w:rsid w:val="00BE694E"/>
    <w:rsid w:val="00BE7638"/>
    <w:rsid w:val="00BF0B24"/>
    <w:rsid w:val="00BF3469"/>
    <w:rsid w:val="00BF3C9E"/>
    <w:rsid w:val="00BF40FC"/>
    <w:rsid w:val="00BF5C04"/>
    <w:rsid w:val="00BF6635"/>
    <w:rsid w:val="00BF71EB"/>
    <w:rsid w:val="00C01616"/>
    <w:rsid w:val="00C0162B"/>
    <w:rsid w:val="00C01C3B"/>
    <w:rsid w:val="00C0263A"/>
    <w:rsid w:val="00C02973"/>
    <w:rsid w:val="00C0479C"/>
    <w:rsid w:val="00C04866"/>
    <w:rsid w:val="00C06554"/>
    <w:rsid w:val="00C068ED"/>
    <w:rsid w:val="00C06F91"/>
    <w:rsid w:val="00C0743F"/>
    <w:rsid w:val="00C122F4"/>
    <w:rsid w:val="00C1376E"/>
    <w:rsid w:val="00C13C98"/>
    <w:rsid w:val="00C14DCD"/>
    <w:rsid w:val="00C1763B"/>
    <w:rsid w:val="00C22E0C"/>
    <w:rsid w:val="00C233E6"/>
    <w:rsid w:val="00C23FE1"/>
    <w:rsid w:val="00C24027"/>
    <w:rsid w:val="00C24AF1"/>
    <w:rsid w:val="00C27B40"/>
    <w:rsid w:val="00C32053"/>
    <w:rsid w:val="00C320C5"/>
    <w:rsid w:val="00C322DA"/>
    <w:rsid w:val="00C33FD2"/>
    <w:rsid w:val="00C340BF"/>
    <w:rsid w:val="00C345B1"/>
    <w:rsid w:val="00C34DDB"/>
    <w:rsid w:val="00C3536E"/>
    <w:rsid w:val="00C365EC"/>
    <w:rsid w:val="00C37616"/>
    <w:rsid w:val="00C3789A"/>
    <w:rsid w:val="00C40142"/>
    <w:rsid w:val="00C41EF8"/>
    <w:rsid w:val="00C429AD"/>
    <w:rsid w:val="00C447B5"/>
    <w:rsid w:val="00C44D2C"/>
    <w:rsid w:val="00C46774"/>
    <w:rsid w:val="00C5025B"/>
    <w:rsid w:val="00C51D67"/>
    <w:rsid w:val="00C52C3C"/>
    <w:rsid w:val="00C56739"/>
    <w:rsid w:val="00C57182"/>
    <w:rsid w:val="00C57863"/>
    <w:rsid w:val="00C61F65"/>
    <w:rsid w:val="00C61FF0"/>
    <w:rsid w:val="00C62C41"/>
    <w:rsid w:val="00C640AF"/>
    <w:rsid w:val="00C64E5C"/>
    <w:rsid w:val="00C651BC"/>
    <w:rsid w:val="00C655FD"/>
    <w:rsid w:val="00C65746"/>
    <w:rsid w:val="00C65EC9"/>
    <w:rsid w:val="00C66631"/>
    <w:rsid w:val="00C6700E"/>
    <w:rsid w:val="00C70C1D"/>
    <w:rsid w:val="00C71BAC"/>
    <w:rsid w:val="00C72213"/>
    <w:rsid w:val="00C72C2E"/>
    <w:rsid w:val="00C73759"/>
    <w:rsid w:val="00C73F12"/>
    <w:rsid w:val="00C74703"/>
    <w:rsid w:val="00C74ED0"/>
    <w:rsid w:val="00C75407"/>
    <w:rsid w:val="00C75A0B"/>
    <w:rsid w:val="00C8142D"/>
    <w:rsid w:val="00C8193B"/>
    <w:rsid w:val="00C82985"/>
    <w:rsid w:val="00C832D9"/>
    <w:rsid w:val="00C838AD"/>
    <w:rsid w:val="00C841C6"/>
    <w:rsid w:val="00C85A03"/>
    <w:rsid w:val="00C86F70"/>
    <w:rsid w:val="00C870A8"/>
    <w:rsid w:val="00C90EB1"/>
    <w:rsid w:val="00C9240C"/>
    <w:rsid w:val="00C929CC"/>
    <w:rsid w:val="00C92B41"/>
    <w:rsid w:val="00C94434"/>
    <w:rsid w:val="00C9733B"/>
    <w:rsid w:val="00CA03E9"/>
    <w:rsid w:val="00CA07BB"/>
    <w:rsid w:val="00CA0D75"/>
    <w:rsid w:val="00CA153A"/>
    <w:rsid w:val="00CA175E"/>
    <w:rsid w:val="00CA1C95"/>
    <w:rsid w:val="00CA3097"/>
    <w:rsid w:val="00CA3A68"/>
    <w:rsid w:val="00CA5A9C"/>
    <w:rsid w:val="00CB15B4"/>
    <w:rsid w:val="00CB24DB"/>
    <w:rsid w:val="00CB48FD"/>
    <w:rsid w:val="00CB4D5F"/>
    <w:rsid w:val="00CB6369"/>
    <w:rsid w:val="00CB7ACA"/>
    <w:rsid w:val="00CB7BDC"/>
    <w:rsid w:val="00CC068E"/>
    <w:rsid w:val="00CC4C20"/>
    <w:rsid w:val="00CC5358"/>
    <w:rsid w:val="00CC61C2"/>
    <w:rsid w:val="00CC64BB"/>
    <w:rsid w:val="00CC779F"/>
    <w:rsid w:val="00CD3517"/>
    <w:rsid w:val="00CD39DB"/>
    <w:rsid w:val="00CD4D6C"/>
    <w:rsid w:val="00CD5FE2"/>
    <w:rsid w:val="00CE085C"/>
    <w:rsid w:val="00CE1953"/>
    <w:rsid w:val="00CE3093"/>
    <w:rsid w:val="00CE389D"/>
    <w:rsid w:val="00CE4D4C"/>
    <w:rsid w:val="00CE5129"/>
    <w:rsid w:val="00CE664B"/>
    <w:rsid w:val="00CE690B"/>
    <w:rsid w:val="00CE7732"/>
    <w:rsid w:val="00CE77D7"/>
    <w:rsid w:val="00CE7C68"/>
    <w:rsid w:val="00CF144B"/>
    <w:rsid w:val="00CF2843"/>
    <w:rsid w:val="00CF3B4D"/>
    <w:rsid w:val="00CF47EB"/>
    <w:rsid w:val="00CF53F2"/>
    <w:rsid w:val="00CF5BFD"/>
    <w:rsid w:val="00D01384"/>
    <w:rsid w:val="00D02B4C"/>
    <w:rsid w:val="00D03D42"/>
    <w:rsid w:val="00D03EA7"/>
    <w:rsid w:val="00D040C4"/>
    <w:rsid w:val="00D11F10"/>
    <w:rsid w:val="00D12DF9"/>
    <w:rsid w:val="00D1588A"/>
    <w:rsid w:val="00D16939"/>
    <w:rsid w:val="00D16B21"/>
    <w:rsid w:val="00D20AD1"/>
    <w:rsid w:val="00D213D8"/>
    <w:rsid w:val="00D233C6"/>
    <w:rsid w:val="00D24CEF"/>
    <w:rsid w:val="00D2582C"/>
    <w:rsid w:val="00D259D7"/>
    <w:rsid w:val="00D26036"/>
    <w:rsid w:val="00D26220"/>
    <w:rsid w:val="00D265C6"/>
    <w:rsid w:val="00D269FE"/>
    <w:rsid w:val="00D3063E"/>
    <w:rsid w:val="00D31B09"/>
    <w:rsid w:val="00D348B9"/>
    <w:rsid w:val="00D354C8"/>
    <w:rsid w:val="00D424BD"/>
    <w:rsid w:val="00D43335"/>
    <w:rsid w:val="00D45255"/>
    <w:rsid w:val="00D455F0"/>
    <w:rsid w:val="00D46A4F"/>
    <w:rsid w:val="00D46B7E"/>
    <w:rsid w:val="00D47E21"/>
    <w:rsid w:val="00D54CE0"/>
    <w:rsid w:val="00D560C0"/>
    <w:rsid w:val="00D56A2C"/>
    <w:rsid w:val="00D56F56"/>
    <w:rsid w:val="00D57C84"/>
    <w:rsid w:val="00D57E67"/>
    <w:rsid w:val="00D6057D"/>
    <w:rsid w:val="00D632D3"/>
    <w:rsid w:val="00D65594"/>
    <w:rsid w:val="00D65959"/>
    <w:rsid w:val="00D704D0"/>
    <w:rsid w:val="00D70C74"/>
    <w:rsid w:val="00D71640"/>
    <w:rsid w:val="00D73CF8"/>
    <w:rsid w:val="00D74784"/>
    <w:rsid w:val="00D74929"/>
    <w:rsid w:val="00D74A12"/>
    <w:rsid w:val="00D75A17"/>
    <w:rsid w:val="00D80A38"/>
    <w:rsid w:val="00D836C5"/>
    <w:rsid w:val="00D84576"/>
    <w:rsid w:val="00D84985"/>
    <w:rsid w:val="00D913E6"/>
    <w:rsid w:val="00D93026"/>
    <w:rsid w:val="00D95954"/>
    <w:rsid w:val="00D96D83"/>
    <w:rsid w:val="00D97116"/>
    <w:rsid w:val="00D972A6"/>
    <w:rsid w:val="00D974A3"/>
    <w:rsid w:val="00DA1399"/>
    <w:rsid w:val="00DA2240"/>
    <w:rsid w:val="00DA24C6"/>
    <w:rsid w:val="00DA2A99"/>
    <w:rsid w:val="00DA2B63"/>
    <w:rsid w:val="00DA4D7B"/>
    <w:rsid w:val="00DA50FD"/>
    <w:rsid w:val="00DA73A8"/>
    <w:rsid w:val="00DB0EAE"/>
    <w:rsid w:val="00DB1C33"/>
    <w:rsid w:val="00DB1ED2"/>
    <w:rsid w:val="00DB326A"/>
    <w:rsid w:val="00DB4F86"/>
    <w:rsid w:val="00DB687F"/>
    <w:rsid w:val="00DB79CA"/>
    <w:rsid w:val="00DC1242"/>
    <w:rsid w:val="00DC16FB"/>
    <w:rsid w:val="00DC1E33"/>
    <w:rsid w:val="00DC5B9A"/>
    <w:rsid w:val="00DC6EB3"/>
    <w:rsid w:val="00DD01FB"/>
    <w:rsid w:val="00DD0D3C"/>
    <w:rsid w:val="00DD0D90"/>
    <w:rsid w:val="00DD271C"/>
    <w:rsid w:val="00DD513B"/>
    <w:rsid w:val="00DD5686"/>
    <w:rsid w:val="00DD5845"/>
    <w:rsid w:val="00DD640B"/>
    <w:rsid w:val="00DE0125"/>
    <w:rsid w:val="00DE20A5"/>
    <w:rsid w:val="00DE264A"/>
    <w:rsid w:val="00DE39A4"/>
    <w:rsid w:val="00DE4C64"/>
    <w:rsid w:val="00DE721A"/>
    <w:rsid w:val="00DE7EEC"/>
    <w:rsid w:val="00DF1E3D"/>
    <w:rsid w:val="00DF3155"/>
    <w:rsid w:val="00DF3745"/>
    <w:rsid w:val="00DF5072"/>
    <w:rsid w:val="00DF60C6"/>
    <w:rsid w:val="00DF6646"/>
    <w:rsid w:val="00E02776"/>
    <w:rsid w:val="00E02D18"/>
    <w:rsid w:val="00E03B8A"/>
    <w:rsid w:val="00E041E7"/>
    <w:rsid w:val="00E063E5"/>
    <w:rsid w:val="00E13882"/>
    <w:rsid w:val="00E1391F"/>
    <w:rsid w:val="00E15CD8"/>
    <w:rsid w:val="00E170B6"/>
    <w:rsid w:val="00E176F8"/>
    <w:rsid w:val="00E17E65"/>
    <w:rsid w:val="00E21B16"/>
    <w:rsid w:val="00E2340F"/>
    <w:rsid w:val="00E23CA1"/>
    <w:rsid w:val="00E24553"/>
    <w:rsid w:val="00E24CFD"/>
    <w:rsid w:val="00E25258"/>
    <w:rsid w:val="00E25E00"/>
    <w:rsid w:val="00E27885"/>
    <w:rsid w:val="00E27EB3"/>
    <w:rsid w:val="00E304FF"/>
    <w:rsid w:val="00E31940"/>
    <w:rsid w:val="00E34C3B"/>
    <w:rsid w:val="00E409A8"/>
    <w:rsid w:val="00E455AD"/>
    <w:rsid w:val="00E47F8E"/>
    <w:rsid w:val="00E50C12"/>
    <w:rsid w:val="00E51864"/>
    <w:rsid w:val="00E5277A"/>
    <w:rsid w:val="00E54BD7"/>
    <w:rsid w:val="00E5508C"/>
    <w:rsid w:val="00E56127"/>
    <w:rsid w:val="00E622AB"/>
    <w:rsid w:val="00E64CF4"/>
    <w:rsid w:val="00E65918"/>
    <w:rsid w:val="00E65B91"/>
    <w:rsid w:val="00E66D4F"/>
    <w:rsid w:val="00E7033E"/>
    <w:rsid w:val="00E70D1C"/>
    <w:rsid w:val="00E7209D"/>
    <w:rsid w:val="00E721B1"/>
    <w:rsid w:val="00E72916"/>
    <w:rsid w:val="00E72E0F"/>
    <w:rsid w:val="00E72EAD"/>
    <w:rsid w:val="00E73074"/>
    <w:rsid w:val="00E7374E"/>
    <w:rsid w:val="00E740F3"/>
    <w:rsid w:val="00E752B9"/>
    <w:rsid w:val="00E763AC"/>
    <w:rsid w:val="00E77223"/>
    <w:rsid w:val="00E77CAA"/>
    <w:rsid w:val="00E80420"/>
    <w:rsid w:val="00E82811"/>
    <w:rsid w:val="00E833A4"/>
    <w:rsid w:val="00E84B41"/>
    <w:rsid w:val="00E8528B"/>
    <w:rsid w:val="00E85B94"/>
    <w:rsid w:val="00E91E0A"/>
    <w:rsid w:val="00E91EF3"/>
    <w:rsid w:val="00E9205C"/>
    <w:rsid w:val="00E9319E"/>
    <w:rsid w:val="00E954F9"/>
    <w:rsid w:val="00E9553E"/>
    <w:rsid w:val="00E977CB"/>
    <w:rsid w:val="00E978D0"/>
    <w:rsid w:val="00EA026F"/>
    <w:rsid w:val="00EA231B"/>
    <w:rsid w:val="00EA4613"/>
    <w:rsid w:val="00EA48A8"/>
    <w:rsid w:val="00EA63DA"/>
    <w:rsid w:val="00EA7F91"/>
    <w:rsid w:val="00EB1523"/>
    <w:rsid w:val="00EB25ED"/>
    <w:rsid w:val="00EB2977"/>
    <w:rsid w:val="00EB5351"/>
    <w:rsid w:val="00EB59CE"/>
    <w:rsid w:val="00EC0E49"/>
    <w:rsid w:val="00EC101F"/>
    <w:rsid w:val="00EC1885"/>
    <w:rsid w:val="00EC1D9F"/>
    <w:rsid w:val="00EC25E4"/>
    <w:rsid w:val="00EC2DCB"/>
    <w:rsid w:val="00EC5A7B"/>
    <w:rsid w:val="00ED034A"/>
    <w:rsid w:val="00ED1738"/>
    <w:rsid w:val="00ED1B29"/>
    <w:rsid w:val="00ED23CA"/>
    <w:rsid w:val="00ED5BCF"/>
    <w:rsid w:val="00ED6175"/>
    <w:rsid w:val="00ED784E"/>
    <w:rsid w:val="00EE0131"/>
    <w:rsid w:val="00EE0270"/>
    <w:rsid w:val="00EE034F"/>
    <w:rsid w:val="00EE0983"/>
    <w:rsid w:val="00EE0993"/>
    <w:rsid w:val="00EE0CB4"/>
    <w:rsid w:val="00EE144D"/>
    <w:rsid w:val="00EE17B0"/>
    <w:rsid w:val="00EE1930"/>
    <w:rsid w:val="00EE29AB"/>
    <w:rsid w:val="00EE5336"/>
    <w:rsid w:val="00EE5700"/>
    <w:rsid w:val="00EE609D"/>
    <w:rsid w:val="00EE6158"/>
    <w:rsid w:val="00EE6F33"/>
    <w:rsid w:val="00EF06D9"/>
    <w:rsid w:val="00EF4531"/>
    <w:rsid w:val="00EF6730"/>
    <w:rsid w:val="00EF69A4"/>
    <w:rsid w:val="00EF7454"/>
    <w:rsid w:val="00F00209"/>
    <w:rsid w:val="00F00980"/>
    <w:rsid w:val="00F01511"/>
    <w:rsid w:val="00F02B10"/>
    <w:rsid w:val="00F0566B"/>
    <w:rsid w:val="00F110AF"/>
    <w:rsid w:val="00F11660"/>
    <w:rsid w:val="00F126ED"/>
    <w:rsid w:val="00F1361B"/>
    <w:rsid w:val="00F139F7"/>
    <w:rsid w:val="00F13DD1"/>
    <w:rsid w:val="00F150D3"/>
    <w:rsid w:val="00F1589B"/>
    <w:rsid w:val="00F15DB7"/>
    <w:rsid w:val="00F163CB"/>
    <w:rsid w:val="00F17C88"/>
    <w:rsid w:val="00F220AD"/>
    <w:rsid w:val="00F23895"/>
    <w:rsid w:val="00F247A1"/>
    <w:rsid w:val="00F2485A"/>
    <w:rsid w:val="00F27C44"/>
    <w:rsid w:val="00F3049E"/>
    <w:rsid w:val="00F30C64"/>
    <w:rsid w:val="00F32BA2"/>
    <w:rsid w:val="00F32CDB"/>
    <w:rsid w:val="00F37621"/>
    <w:rsid w:val="00F40453"/>
    <w:rsid w:val="00F429BA"/>
    <w:rsid w:val="00F42EF8"/>
    <w:rsid w:val="00F4351B"/>
    <w:rsid w:val="00F51E72"/>
    <w:rsid w:val="00F565FE"/>
    <w:rsid w:val="00F57C1D"/>
    <w:rsid w:val="00F60765"/>
    <w:rsid w:val="00F615F0"/>
    <w:rsid w:val="00F633C5"/>
    <w:rsid w:val="00F63A70"/>
    <w:rsid w:val="00F63D8C"/>
    <w:rsid w:val="00F66807"/>
    <w:rsid w:val="00F67629"/>
    <w:rsid w:val="00F67B60"/>
    <w:rsid w:val="00F701E6"/>
    <w:rsid w:val="00F7196E"/>
    <w:rsid w:val="00F7392A"/>
    <w:rsid w:val="00F75075"/>
    <w:rsid w:val="00F7534E"/>
    <w:rsid w:val="00F82374"/>
    <w:rsid w:val="00F82986"/>
    <w:rsid w:val="00F82C05"/>
    <w:rsid w:val="00F83799"/>
    <w:rsid w:val="00F84761"/>
    <w:rsid w:val="00F921F0"/>
    <w:rsid w:val="00F92481"/>
    <w:rsid w:val="00F92C01"/>
    <w:rsid w:val="00F93EDF"/>
    <w:rsid w:val="00F9672B"/>
    <w:rsid w:val="00F96B90"/>
    <w:rsid w:val="00FA1802"/>
    <w:rsid w:val="00FA21D0"/>
    <w:rsid w:val="00FA35DE"/>
    <w:rsid w:val="00FA5CCA"/>
    <w:rsid w:val="00FA5F5F"/>
    <w:rsid w:val="00FB1EF0"/>
    <w:rsid w:val="00FB5954"/>
    <w:rsid w:val="00FB6114"/>
    <w:rsid w:val="00FB6DAE"/>
    <w:rsid w:val="00FB730C"/>
    <w:rsid w:val="00FB76B9"/>
    <w:rsid w:val="00FC0D02"/>
    <w:rsid w:val="00FC1082"/>
    <w:rsid w:val="00FC1DB9"/>
    <w:rsid w:val="00FC2695"/>
    <w:rsid w:val="00FC3E03"/>
    <w:rsid w:val="00FC3FC1"/>
    <w:rsid w:val="00FC4458"/>
    <w:rsid w:val="00FC5343"/>
    <w:rsid w:val="00FC6256"/>
    <w:rsid w:val="00FC73E9"/>
    <w:rsid w:val="00FC7A0D"/>
    <w:rsid w:val="00FD2216"/>
    <w:rsid w:val="00FD4D5D"/>
    <w:rsid w:val="00FD5615"/>
    <w:rsid w:val="00FD66C3"/>
    <w:rsid w:val="00FE1198"/>
    <w:rsid w:val="00FE249D"/>
    <w:rsid w:val="00FE258D"/>
    <w:rsid w:val="00FE4EAC"/>
    <w:rsid w:val="00FE772C"/>
    <w:rsid w:val="00FE7B72"/>
    <w:rsid w:val="00FE7D41"/>
    <w:rsid w:val="00FF0080"/>
    <w:rsid w:val="00FF0F9B"/>
    <w:rsid w:val="00FF1B8B"/>
    <w:rsid w:val="00FF21AC"/>
    <w:rsid w:val="00FF27A4"/>
    <w:rsid w:val="00FF4CCF"/>
    <w:rsid w:val="00FF5164"/>
    <w:rsid w:val="00FF57C8"/>
    <w:rsid w:val="00FF6764"/>
    <w:rsid w:val="00FF6D73"/>
    <w:rsid w:val="00FF782D"/>
    <w:rsid w:val="00FF7E6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6F167A"/>
    <w:rPr>
      <w:color w:val="605E5C"/>
      <w:shd w:val="clear" w:color="auto" w:fill="E1DFDD"/>
    </w:rPr>
  </w:style>
  <w:style w:type="character" w:styleId="PlaceholderText">
    <w:name w:val="Placeholder Text"/>
    <w:basedOn w:val="DefaultParagraphFont"/>
    <w:uiPriority w:val="99"/>
    <w:semiHidden/>
    <w:rsid w:val="0019604C"/>
    <w:rPr>
      <w:color w:val="666666"/>
    </w:rPr>
  </w:style>
  <w:style w:type="paragraph" w:styleId="Revision">
    <w:name w:val="Revision"/>
    <w:hidden/>
    <w:uiPriority w:val="99"/>
    <w:semiHidden/>
    <w:rsid w:val="00AF062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david.castro@polito.it"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F2C10B-3722-4F13-86B0-153B9B599AEE}">
  <we:reference id="WA200000368" version="1.0.0.0" store="Omex" storeType="OMEX"/>
  <we:alternateReferences>
    <we:reference id="WA200000368" version="1.0.0.0" store="WA200000368" storeType="OMEX"/>
  </we:alternateReferences>
  <we:properties>
    <we:property name="documentId" value="&quot;e76524dc750ea68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6</Pages>
  <Words>3962</Words>
  <Characters>22585</Characters>
  <Application>Microsoft Office Word</Application>
  <DocSecurity>0</DocSecurity>
  <Lines>188</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David Javier  Castro Rodriguez</cp:lastModifiedBy>
  <cp:revision>83</cp:revision>
  <cp:lastPrinted>2015-05-12T18:31:00Z</cp:lastPrinted>
  <dcterms:created xsi:type="dcterms:W3CDTF">2026-02-25T18:09:00Z</dcterms:created>
  <dcterms:modified xsi:type="dcterms:W3CDTF">2026-03-27T14:41:00Z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id="2gbJST6X"/&gt;&lt;style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y fmtid="{D5CDD505-2E9C-101B-9397-08002B2CF9AE}" pid="4" name="GrammarlyDocumentId">
    <vt:lpwstr>8c4d53b2-a41c-4c34-8828-0e330457d73b</vt:lpwstr>
  </property>
</Properties>
</file>